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CBA82">
      <w:pPr>
        <w:tabs>
          <w:tab w:val="left" w:pos="3106"/>
          <w:tab w:val="center" w:pos="4536"/>
          <w:tab w:val="right" w:pos="9072"/>
        </w:tabs>
        <w:jc w:val="both"/>
        <w:rPr>
          <w:rFonts w:hint="default" w:ascii="Arial" w:hAnsi="Arial" w:eastAsia="宋体" w:cs="Arial"/>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eastAsia="宋体" w:cs="Arial"/>
          <w:b/>
          <w:lang w:val="en-US" w:eastAsia="zh-CN"/>
        </w:rPr>
        <w:t>15</w:t>
      </w:r>
      <w:r>
        <w:rPr>
          <w:rFonts w:hint="eastAsia" w:ascii="Arial" w:hAnsi="Arial" w:eastAsia="宋体" w:cs="Arial"/>
          <w:b/>
          <w:lang w:val="en-US" w:eastAsia="zh-CN"/>
        </w:rPr>
        <w:tab/>
      </w:r>
      <w:r>
        <w:rPr>
          <w:rFonts w:ascii="Arial" w:hAnsi="Arial" w:cs="Arial"/>
          <w:b/>
          <w:bCs/>
        </w:rPr>
        <w:t xml:space="preserve">   </w:t>
      </w:r>
      <w:r>
        <w:rPr>
          <w:rFonts w:ascii="Arial" w:hAnsi="Arial" w:cs="Arial"/>
          <w:b/>
          <w:bCs/>
        </w:rPr>
        <w:tab/>
      </w:r>
      <w:bookmarkStart w:id="0" w:name="_Hlk41145946"/>
      <w:r>
        <w:rPr>
          <w:rFonts w:ascii="Arial" w:hAnsi="Arial" w:cs="Arial"/>
          <w:b/>
          <w:bCs/>
          <w:highlight w:val="none"/>
        </w:rPr>
        <w:t>R4-2</w:t>
      </w:r>
      <w:bookmarkEnd w:id="0"/>
      <w:r>
        <w:rPr>
          <w:rFonts w:hint="eastAsia" w:ascii="Arial" w:hAnsi="Arial" w:eastAsia="宋体" w:cs="Arial"/>
          <w:b/>
          <w:bCs/>
          <w:highlight w:val="none"/>
          <w:lang w:val="en-US" w:eastAsia="zh-CN"/>
        </w:rPr>
        <w:t>506411</w:t>
      </w:r>
      <w:bookmarkStart w:id="10" w:name="_GoBack"/>
      <w:bookmarkEnd w:id="10"/>
    </w:p>
    <w:p w14:paraId="56AD8E7D">
      <w:pPr>
        <w:pStyle w:val="19"/>
        <w:tabs>
          <w:tab w:val="right" w:pos="9781"/>
          <w:tab w:val="right" w:pos="13323"/>
          <w:tab w:val="clear" w:pos="4153"/>
          <w:tab w:val="clear" w:pos="8306"/>
        </w:tabs>
        <w:spacing w:before="60" w:after="60"/>
        <w:outlineLvl w:val="0"/>
        <w:rPr>
          <w:rFonts w:hint="default" w:ascii="Arial" w:hAnsi="Arial" w:cs="Arial"/>
          <w:b/>
          <w:bCs/>
          <w:highlight w:val="yellow"/>
          <w:lang w:val="en-US"/>
        </w:rPr>
      </w:pPr>
      <w:r>
        <w:rPr>
          <w:rFonts w:hint="eastAsia" w:ascii="Arial" w:hAnsi="Arial" w:eastAsia="宋体" w:cs="Arial"/>
          <w:b/>
          <w:sz w:val="24"/>
          <w:szCs w:val="24"/>
          <w:lang w:eastAsia="zh-CN"/>
        </w:rPr>
        <w:t>Malta, MT</w:t>
      </w:r>
      <w:r>
        <w:rPr>
          <w:rFonts w:hint="eastAsia" w:ascii="Arial" w:hAnsi="Arial" w:eastAsia="宋体" w:cs="Arial"/>
          <w:b/>
          <w:sz w:val="24"/>
          <w:szCs w:val="24"/>
          <w:lang w:val="en-US" w:eastAsia="zh-CN"/>
        </w:rPr>
        <w:t>,</w:t>
      </w:r>
      <w:r>
        <w:rPr>
          <w:rFonts w:hint="eastAsia" w:ascii="Arial" w:hAnsi="Arial" w:eastAsia="宋体" w:cs="Arial"/>
          <w:b/>
          <w:sz w:val="24"/>
          <w:szCs w:val="24"/>
          <w:lang w:eastAsia="zh-CN"/>
        </w:rPr>
        <w:t xml:space="preserve"> 1</w:t>
      </w:r>
      <w:r>
        <w:rPr>
          <w:rFonts w:hint="eastAsia" w:ascii="Arial" w:hAnsi="Arial" w:eastAsia="宋体" w:cs="Arial"/>
          <w:b/>
          <w:sz w:val="24"/>
          <w:szCs w:val="24"/>
          <w:lang w:val="en-US" w:eastAsia="zh-CN"/>
        </w:rPr>
        <w:t>9</w:t>
      </w:r>
      <w:r>
        <w:rPr>
          <w:rFonts w:hint="eastAsia" w:ascii="Arial" w:hAnsi="Arial" w:eastAsia="宋体" w:cs="Arial"/>
          <w:b/>
          <w:sz w:val="24"/>
          <w:szCs w:val="24"/>
          <w:vertAlign w:val="superscript"/>
          <w:lang w:eastAsia="zh-CN"/>
        </w:rPr>
        <w:t>th</w:t>
      </w:r>
      <w:r>
        <w:rPr>
          <w:rFonts w:hint="eastAsia" w:ascii="Arial" w:hAnsi="Arial" w:eastAsia="宋体" w:cs="Arial"/>
          <w:b/>
          <w:sz w:val="24"/>
          <w:szCs w:val="24"/>
          <w:lang w:eastAsia="zh-CN"/>
        </w:rPr>
        <w:t xml:space="preserve"> </w:t>
      </w:r>
      <w:r>
        <w:rPr>
          <w:rFonts w:hint="eastAsia" w:ascii="Arial" w:hAnsi="Arial" w:eastAsia="宋体" w:cs="Arial"/>
          <w:b/>
          <w:sz w:val="24"/>
          <w:szCs w:val="24"/>
          <w:lang w:val="en-US" w:eastAsia="zh-CN"/>
        </w:rPr>
        <w:t>-</w:t>
      </w:r>
      <w:r>
        <w:rPr>
          <w:rFonts w:hint="eastAsia" w:ascii="Arial" w:hAnsi="Arial" w:eastAsia="宋体" w:cs="Arial"/>
          <w:b/>
          <w:sz w:val="24"/>
          <w:szCs w:val="24"/>
          <w:lang w:eastAsia="zh-CN"/>
        </w:rPr>
        <w:t xml:space="preserve"> 2</w:t>
      </w:r>
      <w:r>
        <w:rPr>
          <w:rFonts w:hint="eastAsia" w:ascii="Arial" w:hAnsi="Arial" w:eastAsia="宋体" w:cs="Arial"/>
          <w:b/>
          <w:sz w:val="24"/>
          <w:szCs w:val="24"/>
          <w:lang w:val="en-US" w:eastAsia="zh-CN"/>
        </w:rPr>
        <w:t>3</w:t>
      </w:r>
      <w:r>
        <w:rPr>
          <w:rFonts w:hint="eastAsia" w:ascii="Arial" w:hAnsi="Arial" w:eastAsia="宋体" w:cs="Arial"/>
          <w:b/>
          <w:sz w:val="24"/>
          <w:szCs w:val="24"/>
          <w:vertAlign w:val="superscript"/>
          <w:lang w:val="en-US" w:eastAsia="zh-CN"/>
        </w:rPr>
        <w:t>rd</w:t>
      </w:r>
      <w:r>
        <w:rPr>
          <w:rFonts w:hint="eastAsia" w:ascii="Arial" w:hAnsi="Arial" w:eastAsia="宋体" w:cs="Arial"/>
          <w:b/>
          <w:sz w:val="24"/>
          <w:szCs w:val="24"/>
          <w:lang w:eastAsia="zh-CN"/>
        </w:rPr>
        <w:t xml:space="preserve"> </w:t>
      </w:r>
      <w:r>
        <w:rPr>
          <w:rFonts w:hint="eastAsia" w:ascii="Arial" w:hAnsi="Arial" w:eastAsia="宋体" w:cs="Arial"/>
          <w:b/>
          <w:sz w:val="24"/>
          <w:szCs w:val="24"/>
          <w:lang w:val="en-US" w:eastAsia="zh-CN"/>
        </w:rPr>
        <w:t>May</w:t>
      </w:r>
      <w:r>
        <w:rPr>
          <w:rFonts w:hint="eastAsia" w:ascii="Arial" w:hAnsi="Arial" w:eastAsia="宋体" w:cs="Arial"/>
          <w:b/>
          <w:sz w:val="24"/>
          <w:szCs w:val="24"/>
          <w:lang w:eastAsia="zh-CN"/>
        </w:rPr>
        <w:t>, 2025</w:t>
      </w:r>
    </w:p>
    <w:p w14:paraId="5630C136">
      <w:pPr>
        <w:tabs>
          <w:tab w:val="left" w:pos="1985"/>
        </w:tabs>
        <w:rPr>
          <w:b/>
          <w:sz w:val="22"/>
        </w:rPr>
      </w:pPr>
    </w:p>
    <w:p w14:paraId="0CAD1750">
      <w:pPr>
        <w:pBdr>
          <w:top w:val="none" w:color="auto" w:sz="0" w:space="0"/>
          <w:left w:val="none" w:color="auto" w:sz="0" w:space="0"/>
          <w:bottom w:val="none" w:color="auto" w:sz="0" w:space="0"/>
          <w:right w:val="none" w:color="auto" w:sz="0" w:space="0"/>
        </w:pBdr>
        <w:tabs>
          <w:tab w:val="left" w:pos="1765"/>
          <w:tab w:val="center" w:pos="4557"/>
        </w:tabs>
        <w:rPr>
          <w:rFonts w:hint="default" w:eastAsia="宋体"/>
          <w:sz w:val="22"/>
          <w:highlight w:val="yellow"/>
          <w:lang w:val="en-US" w:eastAsia="zh-CN"/>
        </w:rPr>
      </w:pPr>
      <w:r>
        <w:rPr>
          <w:b/>
          <w:sz w:val="22"/>
        </w:rPr>
        <w:t>Agenda Item:</w:t>
      </w:r>
      <w:r>
        <w:rPr>
          <w:b/>
          <w:sz w:val="22"/>
          <w:highlight w:val="none"/>
        </w:rPr>
        <w:tab/>
      </w:r>
      <w:r>
        <w:rPr>
          <w:rFonts w:hint="eastAsia" w:eastAsia="宋体"/>
          <w:sz w:val="22"/>
          <w:highlight w:val="none"/>
          <w:lang w:val="en-US" w:eastAsia="zh-CN"/>
        </w:rPr>
        <w:t>7.12.5</w:t>
      </w:r>
    </w:p>
    <w:p w14:paraId="33D50F73">
      <w:pPr>
        <w:pBdr>
          <w:top w:val="none" w:color="auto" w:sz="0" w:space="0"/>
          <w:left w:val="none" w:color="auto" w:sz="0" w:space="0"/>
          <w:bottom w:val="none" w:color="auto" w:sz="0" w:space="0"/>
          <w:right w:val="none" w:color="auto" w:sz="0" w:space="0"/>
        </w:pBdr>
        <w:tabs>
          <w:tab w:val="left" w:pos="1765"/>
        </w:tabs>
        <w:rPr>
          <w:sz w:val="22"/>
        </w:rPr>
      </w:pPr>
      <w:r>
        <w:rPr>
          <w:b/>
          <w:sz w:val="22"/>
        </w:rPr>
        <w:t xml:space="preserve">Source: </w:t>
      </w:r>
      <w:r>
        <w:rPr>
          <w:b/>
          <w:sz w:val="22"/>
        </w:rPr>
        <w:tab/>
      </w:r>
      <w:bookmarkStart w:id="1" w:name="_Hlk41145958"/>
      <w:r>
        <w:rPr>
          <w:sz w:val="22"/>
        </w:rPr>
        <w:t>CMCC</w:t>
      </w:r>
      <w:bookmarkEnd w:id="1"/>
    </w:p>
    <w:p w14:paraId="34F69D90">
      <w:pPr>
        <w:pBdr>
          <w:top w:val="none" w:color="auto" w:sz="0" w:space="0"/>
          <w:left w:val="none" w:color="auto" w:sz="0" w:space="0"/>
          <w:bottom w:val="none" w:color="auto" w:sz="0" w:space="0"/>
          <w:right w:val="none" w:color="auto" w:sz="0" w:space="0"/>
        </w:pBdr>
        <w:rPr>
          <w:sz w:val="22"/>
        </w:rPr>
      </w:pPr>
      <w:r>
        <w:rPr>
          <w:b/>
          <w:sz w:val="22"/>
        </w:rPr>
        <w:t>Title:</w:t>
      </w:r>
      <w:bookmarkStart w:id="2" w:name="_Hlk41145953"/>
      <w:bookmarkStart w:id="3" w:name="OLE_LINK8"/>
      <w:bookmarkStart w:id="4" w:name="OLE_LINK7"/>
      <w:r>
        <w:rPr>
          <w:rFonts w:hint="eastAsia" w:eastAsia="宋体"/>
          <w:b/>
          <w:sz w:val="22"/>
          <w:lang w:val="en-US" w:eastAsia="zh-CN"/>
        </w:rPr>
        <w:tab/>
      </w:r>
      <w:r>
        <w:rPr>
          <w:rFonts w:hint="eastAsia" w:eastAsia="宋体"/>
          <w:b/>
          <w:sz w:val="22"/>
          <w:lang w:val="en-US" w:eastAsia="zh-CN"/>
        </w:rPr>
        <w:tab/>
      </w:r>
      <w:r>
        <w:rPr>
          <w:rFonts w:hint="eastAsia" w:eastAsia="宋体"/>
          <w:b/>
          <w:sz w:val="22"/>
          <w:lang w:val="en-US" w:eastAsia="zh-CN"/>
        </w:rPr>
        <w:tab/>
      </w:r>
      <w:r>
        <w:rPr>
          <w:rFonts w:hint="eastAsia" w:eastAsia="宋体"/>
          <w:b/>
          <w:sz w:val="22"/>
          <w:lang w:val="en-US" w:eastAsia="zh-CN"/>
        </w:rPr>
        <w:t xml:space="preserve">  </w:t>
      </w:r>
      <w:r>
        <w:rPr>
          <w:rFonts w:hint="eastAsia" w:eastAsia="宋体"/>
          <w:sz w:val="22"/>
          <w:lang w:val="en-US" w:eastAsia="zh-CN"/>
        </w:rPr>
        <w:t>Discussion on</w:t>
      </w:r>
      <w:r>
        <w:rPr>
          <w:sz w:val="22"/>
        </w:rPr>
        <w:t xml:space="preserve"> RRM core requirements for </w:t>
      </w:r>
      <w:r>
        <w:rPr>
          <w:rFonts w:hint="eastAsia" w:eastAsia="宋体"/>
          <w:sz w:val="22"/>
          <w:lang w:val="en-US" w:eastAsia="zh-CN"/>
        </w:rPr>
        <w:t xml:space="preserve">R19 </w:t>
      </w:r>
      <w:r>
        <w:rPr>
          <w:sz w:val="22"/>
        </w:rPr>
        <w:t>ATG</w:t>
      </w:r>
      <w:bookmarkEnd w:id="2"/>
    </w:p>
    <w:bookmarkEnd w:id="3"/>
    <w:bookmarkEnd w:id="4"/>
    <w:p w14:paraId="27183865">
      <w:pPr>
        <w:pBdr>
          <w:top w:val="none" w:color="auto" w:sz="0" w:space="0"/>
          <w:left w:val="none" w:color="auto" w:sz="0" w:space="0"/>
          <w:bottom w:val="none" w:color="auto" w:sz="0" w:space="0"/>
          <w:right w:val="none" w:color="auto" w:sz="0" w:space="0"/>
        </w:pBdr>
        <w:tabs>
          <w:tab w:val="left" w:pos="1765"/>
        </w:tabs>
        <w:rPr>
          <w:sz w:val="22"/>
        </w:rPr>
      </w:pPr>
      <w:r>
        <w:rPr>
          <w:b/>
          <w:sz w:val="22"/>
        </w:rPr>
        <w:t>Document for:</w:t>
      </w:r>
      <w:r>
        <w:rPr>
          <w:b/>
          <w:sz w:val="22"/>
        </w:rPr>
        <w:tab/>
      </w:r>
      <w:r>
        <w:rPr>
          <w:sz w:val="22"/>
        </w:rPr>
        <w:t>Discussion</w:t>
      </w:r>
    </w:p>
    <w:p w14:paraId="5E3A9E20">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r>
        <w:rPr>
          <w:rFonts w:hint="eastAsia" w:ascii="Times New Roman" w:hAnsi="Times New Roman" w:eastAsia="宋体"/>
          <w:b w:val="0"/>
          <w:bCs w:val="0"/>
          <w:kern w:val="0"/>
          <w:sz w:val="36"/>
          <w:szCs w:val="36"/>
          <w:lang w:val="en-US" w:eastAsia="zh-CN"/>
        </w:rPr>
        <w:t>s</w:t>
      </w:r>
    </w:p>
    <w:p w14:paraId="5EC70205">
      <w:pPr>
        <w:tabs>
          <w:tab w:val="left" w:pos="1134"/>
        </w:tabs>
        <w:spacing w:before="60"/>
        <w:jc w:val="both"/>
        <w:rPr>
          <w:rFonts w:eastAsia="等线"/>
          <w:sz w:val="20"/>
          <w:szCs w:val="20"/>
        </w:rPr>
      </w:pPr>
      <w:r>
        <w:rPr>
          <w:rFonts w:eastAsia="等线"/>
          <w:sz w:val="20"/>
          <w:szCs w:val="20"/>
        </w:rPr>
        <w:t xml:space="preserve">In </w:t>
      </w:r>
      <w:r>
        <w:rPr>
          <w:rFonts w:hint="eastAsia" w:eastAsia="等线"/>
          <w:sz w:val="20"/>
          <w:szCs w:val="20"/>
          <w:lang w:val="en-US" w:eastAsia="zh-CN"/>
        </w:rPr>
        <w:t xml:space="preserve">last meeting, most of requirements have been discussed and defined for </w:t>
      </w:r>
      <w:r>
        <w:rPr>
          <w:rFonts w:eastAsia="等线"/>
          <w:sz w:val="20"/>
          <w:szCs w:val="20"/>
        </w:rPr>
        <w:t>Air-to-ground network</w:t>
      </w:r>
      <w:r>
        <w:rPr>
          <w:rFonts w:hint="eastAsia" w:eastAsia="等线"/>
          <w:sz w:val="20"/>
          <w:szCs w:val="20"/>
          <w:lang w:val="en-US" w:eastAsia="zh-CN"/>
        </w:rPr>
        <w:t xml:space="preserve"> enhancement, the WF has been approved </w:t>
      </w:r>
      <w:r>
        <w:rPr>
          <w:rFonts w:eastAsia="等线"/>
          <w:sz w:val="20"/>
          <w:szCs w:val="20"/>
        </w:rPr>
        <w:t>[1]</w:t>
      </w:r>
      <w:r>
        <w:rPr>
          <w:rFonts w:hint="eastAsia" w:eastAsia="等线"/>
          <w:sz w:val="20"/>
          <w:szCs w:val="20"/>
          <w:lang w:val="en-US" w:eastAsia="zh-CN"/>
        </w:rPr>
        <w:t>.</w:t>
      </w:r>
      <w:r>
        <w:rPr>
          <w:rFonts w:eastAsia="等线"/>
          <w:sz w:val="20"/>
          <w:szCs w:val="20"/>
        </w:rPr>
        <w:t xml:space="preserve"> In this contribution, we </w:t>
      </w:r>
      <w:r>
        <w:rPr>
          <w:rFonts w:hint="eastAsia" w:eastAsia="等线"/>
          <w:sz w:val="20"/>
          <w:szCs w:val="20"/>
          <w:lang w:val="en-US" w:eastAsia="zh-CN"/>
        </w:rPr>
        <w:t xml:space="preserve">further </w:t>
      </w:r>
      <w:r>
        <w:rPr>
          <w:rFonts w:eastAsia="等线"/>
          <w:sz w:val="20"/>
          <w:szCs w:val="20"/>
        </w:rPr>
        <w:t xml:space="preserve">discuss </w:t>
      </w:r>
      <w:r>
        <w:rPr>
          <w:rFonts w:hint="eastAsia" w:eastAsia="等线"/>
          <w:sz w:val="20"/>
          <w:szCs w:val="20"/>
          <w:lang w:val="en-US" w:eastAsia="zh-CN"/>
        </w:rPr>
        <w:t>UE capability issues and potential enhancement</w:t>
      </w:r>
      <w:r>
        <w:rPr>
          <w:rFonts w:eastAsia="等线"/>
          <w:sz w:val="20"/>
          <w:szCs w:val="20"/>
        </w:rPr>
        <w:t xml:space="preserve"> considering </w:t>
      </w:r>
      <w:r>
        <w:rPr>
          <w:rFonts w:hint="eastAsia" w:eastAsia="等线"/>
          <w:sz w:val="20"/>
          <w:szCs w:val="20"/>
          <w:lang w:val="en-US" w:eastAsia="zh-CN"/>
        </w:rPr>
        <w:t>ATG specific CA scenario</w:t>
      </w:r>
      <w:r>
        <w:rPr>
          <w:rFonts w:eastAsia="等线"/>
          <w:sz w:val="20"/>
          <w:szCs w:val="20"/>
        </w:rPr>
        <w:t>.</w:t>
      </w:r>
    </w:p>
    <w:p w14:paraId="01DAC539">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eastAsia="宋体"/>
          <w:b w:val="0"/>
          <w:bCs w:val="0"/>
          <w:kern w:val="0"/>
          <w:sz w:val="36"/>
          <w:szCs w:val="36"/>
          <w:lang w:val="en-US" w:eastAsia="zh-CN"/>
        </w:rPr>
        <w:t>Discussion</w:t>
      </w:r>
    </w:p>
    <w:p w14:paraId="06F7D1AC">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zh-CN"/>
        </w:rPr>
      </w:pPr>
      <w:bookmarkStart w:id="7" w:name="_Hlk70326378"/>
      <w:r>
        <w:rPr>
          <w:rFonts w:hint="default" w:ascii="Times New Roman" w:hAnsi="Times New Roman" w:cs="Times New Roman"/>
          <w:b/>
          <w:i/>
          <w:iCs/>
          <w:color w:val="auto"/>
          <w:sz w:val="20"/>
          <w:szCs w:val="20"/>
          <w:u w:val="single"/>
          <w:lang w:val="en-US" w:eastAsia="zh-CN"/>
        </w:rPr>
        <w:t>Issue 1-1-2: UE Beam Type capability signaling</w:t>
      </w:r>
    </w:p>
    <w:p w14:paraId="66137809">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Issue 1-1-2-1: The description of capability definition</w:t>
      </w:r>
    </w:p>
    <w:p w14:paraId="601A5D09">
      <w:pPr>
        <w:keepNext w:val="0"/>
        <w:keepLines w:val="0"/>
        <w:pageBreakBefore w:val="0"/>
        <w:widowControl/>
        <w:tabs>
          <w:tab w:val="left" w:pos="0"/>
        </w:tabs>
        <w:kinsoku/>
        <w:wordWrap/>
        <w:overflowPunct/>
        <w:topLinePunct w:val="0"/>
        <w:autoSpaceDE/>
        <w:autoSpaceDN/>
        <w:bidi w:val="0"/>
        <w:adjustRightInd/>
        <w:snapToGrid/>
        <w:spacing w:before="60" w:after="60"/>
        <w:rPr>
          <w:rFonts w:hint="default" w:ascii="Times New Roman" w:hAnsi="Times New Roman" w:eastAsia="宋体" w:cs="Times New Roman"/>
          <w:i/>
          <w:iCs/>
          <w:color w:val="auto"/>
          <w:sz w:val="20"/>
          <w:szCs w:val="20"/>
          <w:highlight w:val="green"/>
          <w:lang w:eastAsia="zh-CN"/>
        </w:rPr>
      </w:pPr>
      <w:r>
        <w:rPr>
          <w:rFonts w:hint="default" w:ascii="Times New Roman" w:hAnsi="Times New Roman" w:eastAsia="宋体" w:cs="Times New Roman"/>
          <w:i/>
          <w:iCs/>
          <w:color w:val="auto"/>
          <w:sz w:val="20"/>
          <w:szCs w:val="20"/>
          <w:highlight w:val="green"/>
          <w:lang w:eastAsia="zh-CN"/>
        </w:rPr>
        <w:t>Agreement:</w:t>
      </w:r>
    </w:p>
    <w:p w14:paraId="0E260FBD">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Indicates whether the UE supports one common Rx beam when UE capable of antennaArrayType-r18 on both PCC and SCC. If the field is absent, UE supports two simultaneous separate Rx beams when UE capable of antennaArrayType-r18 on both PCC and SCC.</w:t>
      </w:r>
    </w:p>
    <w:p w14:paraId="392BB540">
      <w:pPr>
        <w:keepNext w:val="0"/>
        <w:keepLines w:val="0"/>
        <w:pageBreakBefore w:val="0"/>
        <w:widowControl/>
        <w:numPr>
          <w:ilvl w:val="1"/>
          <w:numId w:val="5"/>
        </w:numPr>
        <w:tabs>
          <w:tab w:val="left" w:pos="420"/>
        </w:tabs>
        <w:kinsoku/>
        <w:wordWrap/>
        <w:overflowPunct w:val="0"/>
        <w:topLinePunct w:val="0"/>
        <w:autoSpaceDE w:val="0"/>
        <w:autoSpaceDN w:val="0"/>
        <w:bidi w:val="0"/>
        <w:adjustRightInd w:val="0"/>
        <w:snapToGrid/>
        <w:spacing w:before="60" w:after="60"/>
        <w:ind w:left="1111" w:leftChars="0" w:hanging="363"/>
        <w:textAlignment w:val="baseline"/>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The UE indicating support of this feature shall also indicate support of antennaArrayType-r18 on each band of the supported Band combination.</w:t>
      </w:r>
    </w:p>
    <w:p w14:paraId="21CDF4D4">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Issue 1-1-2-2: The Report granularity of UE capability</w:t>
      </w:r>
    </w:p>
    <w:p w14:paraId="0B9B69C4">
      <w:pPr>
        <w:keepNext w:val="0"/>
        <w:keepLines w:val="0"/>
        <w:pageBreakBefore w:val="0"/>
        <w:widowControl/>
        <w:tabs>
          <w:tab w:val="left" w:pos="0"/>
        </w:tabs>
        <w:kinsoku/>
        <w:wordWrap/>
        <w:overflowPunct/>
        <w:topLinePunct w:val="0"/>
        <w:autoSpaceDE/>
        <w:autoSpaceDN/>
        <w:bidi w:val="0"/>
        <w:adjustRightInd/>
        <w:snapToGrid/>
        <w:spacing w:before="60" w:after="60"/>
        <w:rPr>
          <w:rFonts w:hint="default" w:ascii="Times New Roman" w:hAnsi="Times New Roman" w:eastAsia="宋体" w:cs="Times New Roman"/>
          <w:i/>
          <w:iCs/>
          <w:color w:val="auto"/>
          <w:sz w:val="20"/>
          <w:szCs w:val="20"/>
          <w:highlight w:val="yellow"/>
          <w:lang w:eastAsia="zh-CN"/>
        </w:rPr>
      </w:pPr>
      <w:r>
        <w:rPr>
          <w:rFonts w:hint="eastAsia" w:eastAsia="宋体" w:cs="Times New Roman"/>
          <w:i/>
          <w:iCs/>
          <w:color w:val="auto"/>
          <w:sz w:val="20"/>
          <w:szCs w:val="20"/>
          <w:highlight w:val="yellow"/>
          <w:lang w:val="en-US" w:eastAsia="zh-CN"/>
        </w:rPr>
        <w:t>FFS</w:t>
      </w:r>
      <w:r>
        <w:rPr>
          <w:rFonts w:hint="default" w:ascii="Times New Roman" w:hAnsi="Times New Roman" w:eastAsia="宋体" w:cs="Times New Roman"/>
          <w:i/>
          <w:iCs/>
          <w:color w:val="auto"/>
          <w:sz w:val="20"/>
          <w:szCs w:val="20"/>
          <w:highlight w:val="yellow"/>
          <w:lang w:eastAsia="zh-CN"/>
        </w:rPr>
        <w:t>:</w:t>
      </w:r>
    </w:p>
    <w:p w14:paraId="76E3B94F">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Per BC</w:t>
      </w:r>
    </w:p>
    <w:p w14:paraId="1A349B38">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Issue 1-1-2-3: The Report feature</w:t>
      </w:r>
    </w:p>
    <w:p w14:paraId="1B2C6568">
      <w:pPr>
        <w:keepNext w:val="0"/>
        <w:keepLines w:val="0"/>
        <w:pageBreakBefore w:val="0"/>
        <w:widowControl/>
        <w:tabs>
          <w:tab w:val="left" w:pos="0"/>
        </w:tabs>
        <w:kinsoku/>
        <w:wordWrap/>
        <w:overflowPunct/>
        <w:topLinePunct w:val="0"/>
        <w:autoSpaceDE/>
        <w:autoSpaceDN/>
        <w:bidi w:val="0"/>
        <w:adjustRightInd/>
        <w:snapToGrid/>
        <w:spacing w:before="60" w:after="60"/>
        <w:rPr>
          <w:rFonts w:hint="default" w:ascii="Times New Roman" w:hAnsi="Times New Roman" w:eastAsia="宋体" w:cs="Times New Roman"/>
          <w:i/>
          <w:iCs/>
          <w:color w:val="auto"/>
          <w:sz w:val="20"/>
          <w:szCs w:val="20"/>
          <w:highlight w:val="green"/>
          <w:lang w:eastAsia="zh-CN"/>
        </w:rPr>
      </w:pPr>
      <w:r>
        <w:rPr>
          <w:rFonts w:hint="default" w:ascii="Times New Roman" w:hAnsi="Times New Roman" w:eastAsia="宋体" w:cs="Times New Roman"/>
          <w:i/>
          <w:iCs/>
          <w:color w:val="auto"/>
          <w:sz w:val="20"/>
          <w:szCs w:val="20"/>
          <w:highlight w:val="green"/>
          <w:lang w:eastAsia="zh-CN"/>
        </w:rPr>
        <w:t>Agreement:</w:t>
      </w:r>
    </w:p>
    <w:p w14:paraId="1484D3DD">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Conditional mandatory</w:t>
      </w:r>
    </w:p>
    <w:p w14:paraId="5F4C5F5A">
      <w:pPr>
        <w:keepNext w:val="0"/>
        <w:keepLines w:val="0"/>
        <w:pageBreakBefore w:val="0"/>
        <w:widowControl/>
        <w:numPr>
          <w:ilvl w:val="1"/>
          <w:numId w:val="5"/>
        </w:numPr>
        <w:tabs>
          <w:tab w:val="left"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The UE indicating support of this feature shall also indicate support of antennaArrayType-r18 on each band [of the supported Band combination]</w:t>
      </w:r>
    </w:p>
    <w:p w14:paraId="442CB21A">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Issue 1-1-2-4: The Report functionalities between FDD and TDD</w:t>
      </w:r>
    </w:p>
    <w:p w14:paraId="17CE5D78">
      <w:pPr>
        <w:keepNext w:val="0"/>
        <w:keepLines w:val="0"/>
        <w:pageBreakBefore w:val="0"/>
        <w:widowControl/>
        <w:tabs>
          <w:tab w:val="left" w:pos="0"/>
        </w:tabs>
        <w:kinsoku/>
        <w:wordWrap/>
        <w:overflowPunct/>
        <w:topLinePunct w:val="0"/>
        <w:autoSpaceDE/>
        <w:autoSpaceDN/>
        <w:bidi w:val="0"/>
        <w:adjustRightInd/>
        <w:snapToGrid/>
        <w:spacing w:before="60" w:after="60"/>
        <w:rPr>
          <w:rFonts w:hint="default" w:ascii="Times New Roman" w:hAnsi="Times New Roman" w:eastAsia="宋体" w:cs="Times New Roman"/>
          <w:i/>
          <w:iCs/>
          <w:color w:val="auto"/>
          <w:sz w:val="20"/>
          <w:szCs w:val="20"/>
          <w:highlight w:val="green"/>
          <w:lang w:eastAsia="zh-CN"/>
        </w:rPr>
      </w:pPr>
      <w:r>
        <w:rPr>
          <w:rFonts w:hint="default" w:ascii="Times New Roman" w:hAnsi="Times New Roman" w:eastAsia="宋体" w:cs="Times New Roman"/>
          <w:i/>
          <w:iCs/>
          <w:color w:val="auto"/>
          <w:sz w:val="20"/>
          <w:szCs w:val="20"/>
          <w:highlight w:val="green"/>
          <w:lang w:eastAsia="zh-CN"/>
        </w:rPr>
        <w:t>Agreement:</w:t>
      </w:r>
    </w:p>
    <w:p w14:paraId="18B9F542">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No functionality difference between FDD and TDD</w:t>
      </w:r>
    </w:p>
    <w:p w14:paraId="02DEAA22">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highlight w:val="yellow"/>
          <w:lang w:val="en-US" w:eastAsia="zh-CN"/>
        </w:rPr>
        <w:t>FFS</w:t>
      </w:r>
      <w:r>
        <w:rPr>
          <w:rFonts w:hint="default" w:ascii="Times New Roman" w:hAnsi="Times New Roman" w:eastAsia="宋体" w:cs="Times New Roman"/>
          <w:i/>
          <w:iCs/>
          <w:color w:val="auto"/>
          <w:sz w:val="20"/>
          <w:szCs w:val="20"/>
          <w:lang w:val="en-US" w:eastAsia="zh-CN"/>
        </w:rPr>
        <w:t xml:space="preserve"> how to reflect it on the spec.</w:t>
      </w:r>
    </w:p>
    <w:p w14:paraId="62BAF8A5">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Issue 1-1-2-5: The Report functionalities between FR1 and FR2</w:t>
      </w:r>
    </w:p>
    <w:p w14:paraId="4CF0A4FC">
      <w:pPr>
        <w:keepNext w:val="0"/>
        <w:keepLines w:val="0"/>
        <w:pageBreakBefore w:val="0"/>
        <w:widowControl/>
        <w:tabs>
          <w:tab w:val="left" w:pos="0"/>
        </w:tabs>
        <w:kinsoku/>
        <w:wordWrap/>
        <w:overflowPunct/>
        <w:topLinePunct w:val="0"/>
        <w:autoSpaceDE/>
        <w:autoSpaceDN/>
        <w:bidi w:val="0"/>
        <w:adjustRightInd/>
        <w:snapToGrid/>
        <w:spacing w:before="60" w:after="60"/>
        <w:rPr>
          <w:rFonts w:hint="default" w:ascii="Times New Roman" w:hAnsi="Times New Roman" w:eastAsia="宋体" w:cs="Times New Roman"/>
          <w:i/>
          <w:iCs/>
          <w:color w:val="auto"/>
          <w:sz w:val="20"/>
          <w:szCs w:val="20"/>
          <w:highlight w:val="green"/>
          <w:lang w:eastAsia="zh-CN"/>
        </w:rPr>
      </w:pPr>
      <w:r>
        <w:rPr>
          <w:rFonts w:hint="default" w:ascii="Times New Roman" w:hAnsi="Times New Roman" w:eastAsia="宋体" w:cs="Times New Roman"/>
          <w:i/>
          <w:iCs/>
          <w:color w:val="auto"/>
          <w:sz w:val="20"/>
          <w:szCs w:val="20"/>
          <w:highlight w:val="green"/>
          <w:lang w:eastAsia="zh-CN"/>
        </w:rPr>
        <w:t xml:space="preserve">Agreement: </w:t>
      </w:r>
    </w:p>
    <w:p w14:paraId="401F5FB3">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FR1 only</w:t>
      </w:r>
    </w:p>
    <w:p w14:paraId="0C689528">
      <w:pPr>
        <w:pageBreakBefore w:val="0"/>
        <w:widowControl/>
        <w:tabs>
          <w:tab w:val="left" w:pos="1134"/>
        </w:tabs>
        <w:kinsoku/>
        <w:wordWrap/>
        <w:topLinePunct w:val="0"/>
        <w:bidi w:val="0"/>
        <w:snapToGrid/>
        <w:spacing w:before="60" w:after="60"/>
        <w:jc w:val="both"/>
        <w:rPr>
          <w:rFonts w:hint="default" w:ascii="Times New Roman" w:hAnsi="Times New Roman" w:eastAsia="等线" w:cs="Times New Roman"/>
          <w:sz w:val="20"/>
          <w:szCs w:val="20"/>
          <w:lang w:val="en-US" w:eastAsia="zh-CN"/>
        </w:rPr>
      </w:pPr>
      <w:r>
        <w:rPr>
          <w:rFonts w:hint="eastAsia" w:eastAsia="等线" w:cs="Times New Roman"/>
          <w:sz w:val="20"/>
          <w:szCs w:val="20"/>
          <w:lang w:val="en-US" w:eastAsia="zh-CN"/>
        </w:rPr>
        <w:t xml:space="preserve">In last meeting, RF session agreed that Case 4 UE implementation is possible for CA_n3-n39. Meanwhile, for other BCs which are not introduced in R19, it is common understanding that whether UE could support common Rx beam type </w:t>
      </w:r>
      <w:r>
        <w:rPr>
          <w:rFonts w:hint="default" w:ascii="Times New Roman" w:hAnsi="Times New Roman" w:eastAsia="等线" w:cs="Times New Roman"/>
          <w:sz w:val="20"/>
          <w:szCs w:val="20"/>
          <w:lang w:val="en-US" w:eastAsia="zh-CN"/>
        </w:rPr>
        <w:t xml:space="preserve">for inter-band CA is highly depending on frequency range of operating </w:t>
      </w:r>
      <w:r>
        <w:rPr>
          <w:rFonts w:hint="eastAsia" w:eastAsia="等线" w:cs="Times New Roman"/>
          <w:sz w:val="20"/>
          <w:szCs w:val="20"/>
          <w:lang w:val="en-US" w:eastAsia="zh-CN"/>
        </w:rPr>
        <w:t xml:space="preserve">BCs. To make this UE capability more generic, </w:t>
      </w:r>
      <w:r>
        <w:rPr>
          <w:rFonts w:hint="default" w:ascii="Times New Roman" w:hAnsi="Times New Roman" w:eastAsia="等线" w:cs="Times New Roman"/>
          <w:sz w:val="20"/>
          <w:szCs w:val="20"/>
          <w:lang w:val="en-US" w:eastAsia="zh-CN"/>
        </w:rPr>
        <w:t xml:space="preserve">the </w:t>
      </w:r>
      <w:r>
        <w:rPr>
          <w:rFonts w:hint="eastAsia" w:eastAsia="等线" w:cs="Times New Roman"/>
          <w:sz w:val="20"/>
          <w:szCs w:val="20"/>
          <w:lang w:val="en-US" w:eastAsia="zh-CN"/>
        </w:rPr>
        <w:t xml:space="preserve">report granularity of this </w:t>
      </w:r>
      <w:r>
        <w:rPr>
          <w:rFonts w:hint="default" w:ascii="Times New Roman" w:hAnsi="Times New Roman" w:eastAsia="等线" w:cs="Times New Roman"/>
          <w:sz w:val="20"/>
          <w:szCs w:val="20"/>
          <w:lang w:val="en-US" w:eastAsia="zh-CN"/>
        </w:rPr>
        <w:t xml:space="preserve">UE </w:t>
      </w:r>
      <w:r>
        <w:rPr>
          <w:rFonts w:hint="eastAsia" w:eastAsia="等线" w:cs="Times New Roman"/>
          <w:sz w:val="20"/>
          <w:szCs w:val="20"/>
          <w:lang w:val="en-US" w:eastAsia="zh-CN"/>
        </w:rPr>
        <w:t>capability</w:t>
      </w:r>
      <w:r>
        <w:rPr>
          <w:rFonts w:hint="default" w:ascii="Times New Roman" w:hAnsi="Times New Roman" w:eastAsia="等线" w:cs="Times New Roman"/>
          <w:sz w:val="20"/>
          <w:szCs w:val="20"/>
          <w:lang w:val="en-US" w:eastAsia="zh-CN"/>
        </w:rPr>
        <w:t xml:space="preserve"> shall be per BC.</w:t>
      </w:r>
    </w:p>
    <w:p w14:paraId="6BEDA5EA">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lang w:val="en-US" w:eastAsia="zh-CN"/>
        </w:rPr>
      </w:pPr>
      <w:r>
        <w:rPr>
          <w:rFonts w:hint="default" w:ascii="Times New Roman" w:hAnsi="Times New Roman" w:eastAsia="等线" w:cs="Times New Roman"/>
          <w:b/>
          <w:bCs/>
          <w:i/>
          <w:iCs/>
          <w:sz w:val="20"/>
          <w:szCs w:val="20"/>
          <w:lang w:val="en-US" w:eastAsia="zh-CN"/>
        </w:rPr>
        <w:t xml:space="preserve">Proposal 1: </w:t>
      </w:r>
      <w:r>
        <w:rPr>
          <w:rFonts w:hint="eastAsia" w:eastAsia="等线" w:cs="Times New Roman"/>
          <w:b/>
          <w:bCs/>
          <w:i/>
          <w:iCs/>
          <w:sz w:val="20"/>
          <w:szCs w:val="20"/>
          <w:lang w:val="en-US" w:eastAsia="zh-CN"/>
        </w:rPr>
        <w:t>The report granularity shall be per BC.</w:t>
      </w:r>
    </w:p>
    <w:p w14:paraId="340E5A8A">
      <w:pPr>
        <w:pageBreakBefore w:val="0"/>
        <w:widowControl/>
        <w:tabs>
          <w:tab w:val="left" w:pos="1134"/>
        </w:tabs>
        <w:kinsoku/>
        <w:wordWrap/>
        <w:topLinePunct w:val="0"/>
        <w:bidi w:val="0"/>
        <w:snapToGrid/>
        <w:spacing w:before="60" w:after="60"/>
        <w:jc w:val="both"/>
        <w:rPr>
          <w:rFonts w:hint="eastAsia" w:eastAsia="等线" w:cs="Times New Roman"/>
          <w:sz w:val="20"/>
          <w:szCs w:val="20"/>
          <w:lang w:val="en-US" w:eastAsia="zh-CN"/>
        </w:rPr>
      </w:pPr>
      <w:r>
        <w:rPr>
          <w:rFonts w:hint="eastAsia" w:eastAsia="等线" w:cs="Times New Roman"/>
          <w:sz w:val="20"/>
          <w:szCs w:val="20"/>
          <w:lang w:val="en-US" w:eastAsia="zh-CN"/>
        </w:rPr>
        <w:t xml:space="preserve">For the report functionalities between FDD and TDD, after checking the spec, if there is no functionality difference between FDD and TDD, </w:t>
      </w:r>
      <w:r>
        <w:rPr>
          <w:rFonts w:hint="default" w:eastAsia="等线" w:cs="Times New Roman"/>
          <w:sz w:val="20"/>
          <w:szCs w:val="20"/>
          <w:lang w:val="en-US" w:eastAsia="zh-CN"/>
        </w:rPr>
        <w:t>‘</w:t>
      </w:r>
      <w:r>
        <w:rPr>
          <w:rFonts w:hint="eastAsia" w:eastAsia="等线" w:cs="Times New Roman"/>
          <w:sz w:val="20"/>
          <w:szCs w:val="20"/>
          <w:lang w:val="en-US" w:eastAsia="zh-CN"/>
        </w:rPr>
        <w:t>No</w:t>
      </w:r>
      <w:r>
        <w:rPr>
          <w:rFonts w:hint="default" w:eastAsia="等线" w:cs="Times New Roman"/>
          <w:sz w:val="20"/>
          <w:szCs w:val="20"/>
          <w:lang w:val="en-US" w:eastAsia="zh-CN"/>
        </w:rPr>
        <w:t>’</w:t>
      </w:r>
      <w:r>
        <w:rPr>
          <w:rFonts w:hint="eastAsia" w:eastAsia="等线" w:cs="Times New Roman"/>
          <w:sz w:val="20"/>
          <w:szCs w:val="20"/>
          <w:lang w:val="en-US" w:eastAsia="zh-CN"/>
        </w:rPr>
        <w:t xml:space="preserve"> shall be used.</w:t>
      </w:r>
    </w:p>
    <w:p w14:paraId="5F8EE9C4">
      <w:pPr>
        <w:pageBreakBefore w:val="0"/>
        <w:widowControl/>
        <w:tabs>
          <w:tab w:val="left" w:pos="1134"/>
        </w:tabs>
        <w:kinsoku/>
        <w:wordWrap/>
        <w:topLinePunct w:val="0"/>
        <w:bidi w:val="0"/>
        <w:snapToGrid/>
        <w:spacing w:before="60" w:after="60"/>
        <w:jc w:val="both"/>
        <w:rPr>
          <w:rFonts w:hint="default" w:eastAsia="等线" w:cs="Times New Roman"/>
          <w:b/>
          <w:bCs/>
          <w:i/>
          <w:iCs/>
          <w:sz w:val="20"/>
          <w:szCs w:val="20"/>
          <w:lang w:val="en-US" w:eastAsia="zh-CN"/>
        </w:rPr>
      </w:pPr>
      <w:r>
        <w:rPr>
          <w:rFonts w:hint="default"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2</w:t>
      </w:r>
      <w:r>
        <w:rPr>
          <w:rFonts w:hint="default" w:ascii="Times New Roman" w:hAnsi="Times New Roman" w:eastAsia="等线" w:cs="Times New Roman"/>
          <w:b/>
          <w:bCs/>
          <w:i/>
          <w:iCs/>
          <w:sz w:val="20"/>
          <w:szCs w:val="20"/>
          <w:lang w:val="en-US" w:eastAsia="zh-CN"/>
        </w:rPr>
        <w:t xml:space="preserve">: </w:t>
      </w:r>
      <w:r>
        <w:rPr>
          <w:rFonts w:hint="default" w:eastAsia="等线" w:cs="Times New Roman"/>
          <w:b/>
          <w:bCs/>
          <w:i/>
          <w:iCs/>
          <w:sz w:val="20"/>
          <w:szCs w:val="20"/>
          <w:lang w:val="en-US" w:eastAsia="zh-CN"/>
        </w:rPr>
        <w:t>‘</w:t>
      </w:r>
      <w:r>
        <w:rPr>
          <w:rFonts w:hint="eastAsia" w:eastAsia="等线" w:cs="Times New Roman"/>
          <w:b/>
          <w:bCs/>
          <w:i/>
          <w:iCs/>
          <w:sz w:val="20"/>
          <w:szCs w:val="20"/>
          <w:lang w:val="en-US" w:eastAsia="zh-CN"/>
        </w:rPr>
        <w:t>No</w:t>
      </w:r>
      <w:r>
        <w:rPr>
          <w:rFonts w:hint="default" w:eastAsia="等线" w:cs="Times New Roman"/>
          <w:b/>
          <w:bCs/>
          <w:i/>
          <w:iCs/>
          <w:sz w:val="20"/>
          <w:szCs w:val="20"/>
          <w:lang w:val="en-US" w:eastAsia="zh-CN"/>
        </w:rPr>
        <w:t>’</w:t>
      </w:r>
      <w:r>
        <w:rPr>
          <w:rFonts w:hint="eastAsia" w:eastAsia="等线" w:cs="Times New Roman"/>
          <w:b/>
          <w:bCs/>
          <w:i/>
          <w:iCs/>
          <w:sz w:val="20"/>
          <w:szCs w:val="20"/>
          <w:lang w:val="en-US" w:eastAsia="zh-CN"/>
        </w:rPr>
        <w:t xml:space="preserve"> shall be indicated by UE for the field </w:t>
      </w:r>
      <w:r>
        <w:rPr>
          <w:rFonts w:hint="default" w:eastAsia="等线" w:cs="Times New Roman"/>
          <w:b/>
          <w:bCs/>
          <w:i/>
          <w:iCs/>
          <w:sz w:val="20"/>
          <w:szCs w:val="20"/>
          <w:lang w:val="en-US" w:eastAsia="zh-CN"/>
        </w:rPr>
        <w:t>‘</w:t>
      </w:r>
      <w:r>
        <w:rPr>
          <w:rFonts w:hint="eastAsia" w:eastAsia="等线" w:cs="Times New Roman"/>
          <w:b/>
          <w:bCs/>
          <w:i/>
          <w:iCs/>
          <w:sz w:val="20"/>
          <w:szCs w:val="20"/>
          <w:lang w:val="en-US" w:eastAsia="zh-CN"/>
        </w:rPr>
        <w:t>Need of FDD/TDD differentiation</w:t>
      </w:r>
      <w:r>
        <w:rPr>
          <w:rFonts w:hint="default" w:eastAsia="等线" w:cs="Times New Roman"/>
          <w:b/>
          <w:bCs/>
          <w:i/>
          <w:iCs/>
          <w:sz w:val="20"/>
          <w:szCs w:val="20"/>
          <w:lang w:val="en-US" w:eastAsia="zh-CN"/>
        </w:rPr>
        <w:t>’</w:t>
      </w:r>
      <w:r>
        <w:rPr>
          <w:rFonts w:hint="eastAsia" w:eastAsia="等线" w:cs="Times New Roman"/>
          <w:b/>
          <w:bCs/>
          <w:i/>
          <w:iCs/>
          <w:sz w:val="20"/>
          <w:szCs w:val="20"/>
          <w:lang w:val="en-US" w:eastAsia="zh-CN"/>
        </w:rPr>
        <w:t>.</w:t>
      </w:r>
    </w:p>
    <w:p w14:paraId="5EFA14CE">
      <w:pPr>
        <w:pageBreakBefore w:val="0"/>
        <w:widowControl/>
        <w:tabs>
          <w:tab w:val="left" w:pos="1134"/>
        </w:tabs>
        <w:kinsoku/>
        <w:wordWrap/>
        <w:topLinePunct w:val="0"/>
        <w:bidi w:val="0"/>
        <w:snapToGrid/>
        <w:spacing w:before="60" w:after="60"/>
        <w:jc w:val="both"/>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Based on </w:t>
      </w:r>
      <w:r>
        <w:rPr>
          <w:rFonts w:hint="eastAsia" w:eastAsia="等线" w:cs="Times New Roman"/>
          <w:sz w:val="20"/>
          <w:szCs w:val="20"/>
          <w:lang w:val="en-US" w:eastAsia="zh-CN"/>
        </w:rPr>
        <w:t>the agreements and above discussion</w:t>
      </w:r>
      <w:r>
        <w:rPr>
          <w:rFonts w:hint="default" w:ascii="Times New Roman" w:hAnsi="Times New Roman" w:eastAsia="等线" w:cs="Times New Roman"/>
          <w:sz w:val="20"/>
          <w:szCs w:val="20"/>
          <w:lang w:val="en-US" w:eastAsia="zh-CN"/>
        </w:rPr>
        <w:t xml:space="preserve">, we propose following UE </w:t>
      </w:r>
      <w:r>
        <w:rPr>
          <w:rFonts w:hint="eastAsia" w:eastAsia="等线" w:cs="Times New Roman"/>
          <w:sz w:val="20"/>
          <w:szCs w:val="20"/>
          <w:lang w:val="en-US" w:eastAsia="zh-CN"/>
        </w:rPr>
        <w:t>feature, and this shall be captured in R19 NR UE feature table.</w:t>
      </w:r>
    </w:p>
    <w:p w14:paraId="1642A4F6">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default" w:eastAsia="Times New Roman"/>
          <w:b/>
          <w:i/>
          <w:iCs/>
          <w:sz w:val="20"/>
          <w:szCs w:val="20"/>
          <w:u w:val="none"/>
          <w:lang w:val="en-US" w:eastAsia="zh-CN"/>
        </w:rPr>
        <w:sectPr>
          <w:pgSz w:w="11906" w:h="16838"/>
          <w:pgMar w:top="1440" w:right="985" w:bottom="1440" w:left="1800" w:header="851" w:footer="992" w:gutter="0"/>
          <w:cols w:space="425" w:num="1"/>
          <w:docGrid w:type="lines" w:linePitch="312" w:charSpace="0"/>
        </w:sectPr>
      </w:pPr>
      <w:r>
        <w:rPr>
          <w:rFonts w:hint="eastAsia" w:eastAsia="Times New Roman"/>
          <w:b/>
          <w:i/>
          <w:iCs/>
          <w:sz w:val="20"/>
          <w:szCs w:val="20"/>
          <w:u w:val="none"/>
          <w:lang w:val="en-US" w:eastAsia="zh-CN"/>
        </w:rPr>
        <w:t>Proposal 3: Define the UE feature of Rx beam type as following</w:t>
      </w:r>
    </w:p>
    <w:tbl>
      <w:tblPr>
        <w:tblStyle w:val="24"/>
        <w:tblW w:w="21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738"/>
        <w:gridCol w:w="1177"/>
        <w:gridCol w:w="3331"/>
        <w:gridCol w:w="1585"/>
        <w:gridCol w:w="1261"/>
        <w:gridCol w:w="1423"/>
        <w:gridCol w:w="1547"/>
        <w:gridCol w:w="1392"/>
        <w:gridCol w:w="1115"/>
        <w:gridCol w:w="1077"/>
        <w:gridCol w:w="1516"/>
        <w:gridCol w:w="1669"/>
        <w:gridCol w:w="1954"/>
      </w:tblGrid>
      <w:tr w14:paraId="0FF1B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68" w:type="dxa"/>
            <w:shd w:val="clear" w:color="auto" w:fill="auto"/>
          </w:tcPr>
          <w:p w14:paraId="065BCE70">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38" w:type="dxa"/>
            <w:shd w:val="clear" w:color="auto" w:fill="auto"/>
          </w:tcPr>
          <w:p w14:paraId="0B0B470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177" w:type="dxa"/>
            <w:shd w:val="clear" w:color="auto" w:fill="auto"/>
          </w:tcPr>
          <w:p w14:paraId="4AAF9A3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331" w:type="dxa"/>
            <w:shd w:val="clear" w:color="auto" w:fill="auto"/>
          </w:tcPr>
          <w:p w14:paraId="4DBB7024">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2AC9F836">
            <w:pPr>
              <w:keepNext/>
              <w:keepLines/>
              <w:overflowPunct w:val="0"/>
              <w:autoSpaceDE w:val="0"/>
              <w:autoSpaceDN w:val="0"/>
              <w:adjustRightInd w:val="0"/>
              <w:jc w:val="center"/>
              <w:textAlignment w:val="baseline"/>
              <w:rPr>
                <w:rFonts w:ascii="Arial" w:hAnsi="Arial" w:cs="Arial"/>
                <w:b/>
                <w:sz w:val="18"/>
              </w:rPr>
            </w:pPr>
          </w:p>
        </w:tc>
        <w:tc>
          <w:tcPr>
            <w:tcW w:w="1585" w:type="dxa"/>
            <w:shd w:val="clear" w:color="auto" w:fill="auto"/>
          </w:tcPr>
          <w:p w14:paraId="2143EF02">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261" w:type="dxa"/>
            <w:shd w:val="clear" w:color="auto" w:fill="auto"/>
          </w:tcPr>
          <w:p w14:paraId="4634ECD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23" w:type="dxa"/>
            <w:shd w:val="clear" w:color="auto" w:fill="auto"/>
          </w:tcPr>
          <w:p w14:paraId="776E575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547" w:type="dxa"/>
          </w:tcPr>
          <w:p w14:paraId="5F193B4F">
            <w:pPr>
              <w:keepNext/>
              <w:keepLines/>
              <w:rPr>
                <w:rFonts w:ascii="Arial" w:hAnsi="Arial" w:cs="Arial"/>
                <w:b/>
                <w:sz w:val="18"/>
              </w:rPr>
            </w:pPr>
            <w:r>
              <w:rPr>
                <w:rFonts w:ascii="Arial" w:hAnsi="Arial" w:cs="Arial"/>
                <w:b/>
                <w:sz w:val="18"/>
              </w:rPr>
              <w:t>Consequence if the feature is not supported by the UE</w:t>
            </w:r>
          </w:p>
        </w:tc>
        <w:tc>
          <w:tcPr>
            <w:tcW w:w="1392" w:type="dxa"/>
            <w:shd w:val="clear" w:color="auto" w:fill="auto"/>
          </w:tcPr>
          <w:p w14:paraId="66052109">
            <w:pPr>
              <w:keepNext/>
              <w:keepLines/>
              <w:rPr>
                <w:rFonts w:ascii="Arial" w:hAnsi="Arial" w:cs="Arial"/>
                <w:b/>
                <w:sz w:val="18"/>
              </w:rPr>
            </w:pPr>
            <w:r>
              <w:rPr>
                <w:rFonts w:ascii="Arial" w:hAnsi="Arial" w:cs="Arial"/>
                <w:b/>
                <w:sz w:val="18"/>
              </w:rPr>
              <w:t>Type</w:t>
            </w:r>
          </w:p>
          <w:p w14:paraId="6DD14037">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115" w:type="dxa"/>
            <w:shd w:val="clear" w:color="auto" w:fill="auto"/>
          </w:tcPr>
          <w:p w14:paraId="0F99780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077" w:type="dxa"/>
            <w:shd w:val="clear" w:color="auto" w:fill="auto"/>
          </w:tcPr>
          <w:p w14:paraId="0D9EED6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516" w:type="dxa"/>
          </w:tcPr>
          <w:p w14:paraId="2507479D">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669" w:type="dxa"/>
            <w:shd w:val="clear" w:color="auto" w:fill="auto"/>
          </w:tcPr>
          <w:p w14:paraId="235323C9">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54" w:type="dxa"/>
            <w:shd w:val="clear" w:color="auto" w:fill="auto"/>
          </w:tcPr>
          <w:p w14:paraId="4790900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75085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68" w:type="dxa"/>
            <w:shd w:val="clear" w:color="auto" w:fill="auto"/>
          </w:tcPr>
          <w:p w14:paraId="46824114">
            <w:pPr>
              <w:keepNext/>
              <w:keepLines/>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eastAsiaTheme="minorEastAsia"/>
                <w:sz w:val="18"/>
                <w:szCs w:val="18"/>
              </w:rPr>
              <w:t xml:space="preserve">50. </w:t>
            </w:r>
            <w:r>
              <w:rPr>
                <w:rFonts w:ascii="Arial" w:hAnsi="Arial" w:cs="Arial" w:eastAsiaTheme="minorEastAsia"/>
                <w:sz w:val="18"/>
                <w:szCs w:val="18"/>
              </w:rPr>
              <w:t>NR_ATG_enh</w:t>
            </w:r>
          </w:p>
          <w:p w14:paraId="0E0764BA">
            <w:pPr>
              <w:keepNext/>
              <w:keepLines/>
              <w:overflowPunct w:val="0"/>
              <w:autoSpaceDE w:val="0"/>
              <w:autoSpaceDN w:val="0"/>
              <w:adjustRightInd w:val="0"/>
              <w:textAlignment w:val="baseline"/>
              <w:rPr>
                <w:rFonts w:ascii="Arial" w:hAnsi="Arial" w:cs="Arial" w:eastAsiaTheme="minorEastAsia"/>
                <w:sz w:val="18"/>
                <w:szCs w:val="18"/>
              </w:rPr>
            </w:pPr>
          </w:p>
        </w:tc>
        <w:tc>
          <w:tcPr>
            <w:tcW w:w="738" w:type="dxa"/>
            <w:shd w:val="clear" w:color="auto" w:fill="auto"/>
          </w:tcPr>
          <w:p w14:paraId="4CAFD97C">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50-1</w:t>
            </w:r>
          </w:p>
        </w:tc>
        <w:tc>
          <w:tcPr>
            <w:tcW w:w="1177" w:type="dxa"/>
            <w:shd w:val="clear" w:color="auto" w:fill="auto"/>
          </w:tcPr>
          <w:p w14:paraId="11374071">
            <w:pPr>
              <w:keepNext/>
              <w:keepLines/>
              <w:overflowPunct w:val="0"/>
              <w:autoSpaceDE w:val="0"/>
              <w:autoSpaceDN w:val="0"/>
              <w:adjustRightInd w:val="0"/>
              <w:textAlignment w:val="baseline"/>
              <w:rPr>
                <w:rFonts w:ascii="Arial" w:hAnsi="Arial" w:cs="Arial"/>
                <w:sz w:val="18"/>
              </w:rPr>
            </w:pPr>
            <w:r>
              <w:rPr>
                <w:rFonts w:hint="default" w:ascii="Arial" w:hAnsi="Arial" w:cs="Arial" w:eastAsiaTheme="minorEastAsia"/>
                <w:sz w:val="18"/>
                <w:szCs w:val="18"/>
                <w:lang w:val="en-US" w:eastAsia="zh-CN"/>
              </w:rPr>
              <w:t>common Rx beam</w:t>
            </w:r>
          </w:p>
        </w:tc>
        <w:tc>
          <w:tcPr>
            <w:tcW w:w="3331" w:type="dxa"/>
            <w:shd w:val="clear" w:color="auto" w:fill="auto"/>
          </w:tcPr>
          <w:p w14:paraId="298A68D2">
            <w:pPr>
              <w:keepNext/>
              <w:keepLines/>
              <w:overflowPunct w:val="0"/>
              <w:autoSpaceDE w:val="0"/>
              <w:autoSpaceDN w:val="0"/>
              <w:adjustRightInd w:val="0"/>
              <w:textAlignment w:val="baseline"/>
              <w:rPr>
                <w:rFonts w:ascii="Arial" w:hAnsi="Arial" w:cs="Arial"/>
                <w:sz w:val="18"/>
              </w:rPr>
            </w:pPr>
            <w:r>
              <w:rPr>
                <w:rFonts w:hint="eastAsia" w:ascii="Arial" w:hAnsi="Arial" w:cs="Arial"/>
                <w:sz w:val="18"/>
              </w:rPr>
              <w:t>Indicates whether the UE supports one common Rx beam when UE capable of antennaArrayType-r18 on both PCC and SCC. If the field is absent, UE supports two simultaneous separate Rx beams when UE capable of antennaArrayType-r18 on both PCC and SCC.</w:t>
            </w:r>
          </w:p>
        </w:tc>
        <w:tc>
          <w:tcPr>
            <w:tcW w:w="1585" w:type="dxa"/>
            <w:shd w:val="clear" w:color="auto" w:fill="auto"/>
          </w:tcPr>
          <w:p w14:paraId="6C0D6A22">
            <w:pPr>
              <w:keepNext/>
              <w:keepLines/>
              <w:overflowPunct w:val="0"/>
              <w:autoSpaceDE w:val="0"/>
              <w:autoSpaceDN w:val="0"/>
              <w:adjustRightInd w:val="0"/>
              <w:jc w:val="center"/>
              <w:textAlignment w:val="baseline"/>
              <w:rPr>
                <w:rFonts w:ascii="Arial" w:hAnsi="Arial" w:eastAsia="Times New Roman" w:cs="Arial"/>
                <w:b/>
                <w:sz w:val="18"/>
              </w:rPr>
            </w:pPr>
          </w:p>
        </w:tc>
        <w:tc>
          <w:tcPr>
            <w:tcW w:w="1261" w:type="dxa"/>
            <w:shd w:val="clear" w:color="auto" w:fill="auto"/>
          </w:tcPr>
          <w:p w14:paraId="59AD7DB5">
            <w:pPr>
              <w:keepNext/>
              <w:keepLines/>
              <w:overflowPunct w:val="0"/>
              <w:autoSpaceDE w:val="0"/>
              <w:autoSpaceDN w:val="0"/>
              <w:adjustRightInd w:val="0"/>
              <w:jc w:val="center"/>
              <w:textAlignment w:val="baseline"/>
              <w:rPr>
                <w:rFonts w:hint="default" w:ascii="Arial" w:hAnsi="Arial" w:eastAsia="宋体" w:cs="Arial"/>
                <w:sz w:val="18"/>
                <w:lang w:val="en-US" w:eastAsia="zh-CN"/>
              </w:rPr>
            </w:pPr>
            <w:r>
              <w:rPr>
                <w:rFonts w:hint="eastAsia" w:ascii="Arial" w:hAnsi="Arial" w:eastAsia="宋体" w:cs="Arial"/>
                <w:sz w:val="18"/>
                <w:lang w:val="en-US" w:eastAsia="zh-CN"/>
              </w:rPr>
              <w:t>yes</w:t>
            </w:r>
          </w:p>
        </w:tc>
        <w:tc>
          <w:tcPr>
            <w:tcW w:w="1423" w:type="dxa"/>
            <w:shd w:val="clear" w:color="auto" w:fill="auto"/>
          </w:tcPr>
          <w:p w14:paraId="6FBC5D32">
            <w:pPr>
              <w:keepNext/>
              <w:keepLines/>
              <w:overflowPunct w:val="0"/>
              <w:autoSpaceDE w:val="0"/>
              <w:autoSpaceDN w:val="0"/>
              <w:adjustRightInd w:val="0"/>
              <w:jc w:val="center"/>
              <w:textAlignment w:val="baseline"/>
              <w:rPr>
                <w:rFonts w:hint="default" w:ascii="Arial" w:hAnsi="Arial" w:eastAsia="宋体" w:cs="Arial"/>
                <w:b/>
                <w:sz w:val="18"/>
                <w:lang w:val="en-US" w:eastAsia="zh-CN"/>
              </w:rPr>
            </w:pPr>
            <w:r>
              <w:rPr>
                <w:rFonts w:hint="eastAsia" w:ascii="Arial" w:hAnsi="Arial" w:eastAsia="宋体" w:cs="Arial"/>
                <w:sz w:val="18"/>
                <w:lang w:val="en-US" w:eastAsia="zh-CN"/>
              </w:rPr>
              <w:t>N/A</w:t>
            </w:r>
          </w:p>
        </w:tc>
        <w:tc>
          <w:tcPr>
            <w:tcW w:w="1547" w:type="dxa"/>
          </w:tcPr>
          <w:p w14:paraId="28503C34">
            <w:pPr>
              <w:keepNext/>
              <w:keepLines/>
              <w:rPr>
                <w:rFonts w:ascii="Arial" w:hAnsi="Arial" w:cs="Arial"/>
                <w:sz w:val="18"/>
              </w:rPr>
            </w:pPr>
            <w:r>
              <w:rPr>
                <w:rFonts w:ascii="Arial" w:hAnsi="Arial" w:cs="Arial"/>
                <w:sz w:val="18"/>
                <w:szCs w:val="18"/>
              </w:rPr>
              <w:t xml:space="preserve">If UE does not support the capability, network does not know ATG UE’s </w:t>
            </w:r>
            <w:r>
              <w:rPr>
                <w:rFonts w:hint="eastAsia" w:ascii="Arial" w:hAnsi="Arial" w:eastAsia="宋体" w:cs="Arial"/>
                <w:sz w:val="18"/>
                <w:szCs w:val="18"/>
                <w:lang w:val="en-US" w:eastAsia="zh-CN"/>
              </w:rPr>
              <w:t>reception capability</w:t>
            </w:r>
            <w:r>
              <w:rPr>
                <w:rFonts w:ascii="Arial" w:hAnsi="Arial" w:cs="Arial"/>
                <w:sz w:val="18"/>
                <w:szCs w:val="18"/>
              </w:rPr>
              <w:t>.</w:t>
            </w:r>
          </w:p>
        </w:tc>
        <w:tc>
          <w:tcPr>
            <w:tcW w:w="1392" w:type="dxa"/>
            <w:shd w:val="clear" w:color="auto" w:fill="auto"/>
          </w:tcPr>
          <w:p w14:paraId="2922663E">
            <w:pPr>
              <w:keepNext/>
              <w:keepLines/>
              <w:rPr>
                <w:rFonts w:hint="default" w:ascii="Arial" w:hAnsi="Arial" w:eastAsia="宋体" w:cs="Arial"/>
                <w:sz w:val="18"/>
                <w:lang w:val="en-US" w:eastAsia="zh-CN"/>
              </w:rPr>
            </w:pPr>
            <w:r>
              <w:rPr>
                <w:rFonts w:hint="eastAsia" w:ascii="Arial" w:hAnsi="Arial" w:eastAsia="宋体" w:cs="Arial"/>
                <w:sz w:val="18"/>
                <w:lang w:val="en-US" w:eastAsia="zh-CN"/>
              </w:rPr>
              <w:t>Per BC</w:t>
            </w:r>
          </w:p>
        </w:tc>
        <w:tc>
          <w:tcPr>
            <w:tcW w:w="1115" w:type="dxa"/>
            <w:shd w:val="clear" w:color="auto" w:fill="auto"/>
          </w:tcPr>
          <w:p w14:paraId="27B919B6">
            <w:pPr>
              <w:keepNext/>
              <w:keepLines/>
              <w:overflowPunct w:val="0"/>
              <w:autoSpaceDE w:val="0"/>
              <w:autoSpaceDN w:val="0"/>
              <w:adjustRightInd w:val="0"/>
              <w:jc w:val="center"/>
              <w:textAlignment w:val="baseline"/>
              <w:rPr>
                <w:rFonts w:hint="default" w:ascii="Arial" w:hAnsi="Arial" w:eastAsia="宋体" w:cs="Arial"/>
                <w:sz w:val="18"/>
                <w:lang w:val="en-US" w:eastAsia="zh-CN"/>
              </w:rPr>
            </w:pPr>
            <w:r>
              <w:rPr>
                <w:rFonts w:hint="eastAsia" w:ascii="Arial" w:hAnsi="Arial" w:eastAsia="宋体" w:cs="Arial"/>
                <w:sz w:val="18"/>
                <w:lang w:val="en-US" w:eastAsia="zh-CN"/>
              </w:rPr>
              <w:t>No</w:t>
            </w:r>
          </w:p>
        </w:tc>
        <w:tc>
          <w:tcPr>
            <w:tcW w:w="1077" w:type="dxa"/>
            <w:shd w:val="clear" w:color="auto" w:fill="auto"/>
          </w:tcPr>
          <w:p w14:paraId="031C3602">
            <w:pPr>
              <w:keepNext/>
              <w:keepLines/>
              <w:overflowPunct w:val="0"/>
              <w:autoSpaceDE w:val="0"/>
              <w:autoSpaceDN w:val="0"/>
              <w:adjustRightInd w:val="0"/>
              <w:jc w:val="center"/>
              <w:textAlignment w:val="baseline"/>
              <w:rPr>
                <w:rFonts w:hint="default" w:ascii="Arial" w:hAnsi="Arial" w:eastAsia="宋体" w:cs="Arial"/>
                <w:sz w:val="18"/>
                <w:lang w:val="en-US" w:eastAsia="zh-CN"/>
              </w:rPr>
            </w:pPr>
            <w:r>
              <w:rPr>
                <w:rFonts w:hint="eastAsia" w:ascii="Arial" w:hAnsi="Arial" w:eastAsia="宋体" w:cs="Arial"/>
                <w:sz w:val="18"/>
                <w:lang w:val="en-US" w:eastAsia="zh-CN"/>
              </w:rPr>
              <w:t>FR1 only</w:t>
            </w:r>
          </w:p>
        </w:tc>
        <w:tc>
          <w:tcPr>
            <w:tcW w:w="1516" w:type="dxa"/>
          </w:tcPr>
          <w:p w14:paraId="6C50AADD">
            <w:pPr>
              <w:keepNext/>
              <w:keepLines/>
              <w:overflowPunct w:val="0"/>
              <w:autoSpaceDE w:val="0"/>
              <w:autoSpaceDN w:val="0"/>
              <w:adjustRightInd w:val="0"/>
              <w:jc w:val="center"/>
              <w:textAlignment w:val="baseline"/>
              <w:rPr>
                <w:rFonts w:hint="default" w:ascii="Arial" w:hAnsi="Arial" w:eastAsia="宋体" w:cs="Arial"/>
                <w:b/>
                <w:sz w:val="18"/>
                <w:lang w:val="en-US" w:eastAsia="zh-CN"/>
              </w:rPr>
            </w:pPr>
            <w:r>
              <w:rPr>
                <w:rFonts w:hint="eastAsia" w:ascii="Arial" w:hAnsi="Arial" w:eastAsia="宋体" w:cs="Arial"/>
                <w:sz w:val="18"/>
                <w:lang w:val="en-US" w:eastAsia="zh-CN"/>
              </w:rPr>
              <w:t>N/A</w:t>
            </w:r>
          </w:p>
        </w:tc>
        <w:tc>
          <w:tcPr>
            <w:tcW w:w="1669" w:type="dxa"/>
            <w:shd w:val="clear" w:color="auto" w:fill="auto"/>
          </w:tcPr>
          <w:p w14:paraId="6DB7CCB5">
            <w:pPr>
              <w:keepNext/>
              <w:keepLines/>
              <w:overflowPunct w:val="0"/>
              <w:autoSpaceDE w:val="0"/>
              <w:autoSpaceDN w:val="0"/>
              <w:adjustRightInd w:val="0"/>
              <w:jc w:val="center"/>
              <w:textAlignment w:val="baseline"/>
              <w:rPr>
                <w:rFonts w:hint="default" w:ascii="Arial" w:hAnsi="Arial" w:eastAsia="Times New Roman" w:cs="Arial"/>
                <w:b/>
                <w:sz w:val="18"/>
                <w:lang w:val="en-US"/>
              </w:rPr>
            </w:pPr>
            <w:r>
              <w:rPr>
                <w:rFonts w:hint="eastAsia" w:ascii="Arial" w:hAnsi="Arial" w:eastAsia="宋体" w:cs="Arial"/>
                <w:sz w:val="18"/>
                <w:lang w:val="en-US" w:eastAsia="zh-CN"/>
              </w:rPr>
              <w:t>This UE feature is applicable only for inter-band CA band combination(s) in Table [TBD] in TS 38.101-1.</w:t>
            </w:r>
          </w:p>
        </w:tc>
        <w:tc>
          <w:tcPr>
            <w:tcW w:w="1954" w:type="dxa"/>
            <w:shd w:val="clear" w:color="auto" w:fill="auto"/>
          </w:tcPr>
          <w:p w14:paraId="3F35263A">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Conditional mandatory for UEs supporting antennaArrayType-r18 on each band of the supported Band combination</w:t>
            </w:r>
          </w:p>
        </w:tc>
      </w:tr>
    </w:tbl>
    <w:p w14:paraId="6B1E5B22">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eastAsia" w:eastAsia="Times New Roman"/>
          <w:b/>
          <w:i/>
          <w:iCs/>
          <w:sz w:val="20"/>
          <w:szCs w:val="20"/>
          <w:u w:val="single"/>
          <w:lang w:val="en-US" w:eastAsia="zh-CN"/>
        </w:rPr>
        <w:sectPr>
          <w:pgSz w:w="23811" w:h="16838" w:orient="landscape"/>
          <w:pgMar w:top="1803" w:right="1440" w:bottom="986" w:left="1440" w:header="851" w:footer="992" w:gutter="0"/>
          <w:cols w:space="0" w:num="1"/>
          <w:rtlGutter w:val="0"/>
          <w:docGrid w:type="lines" w:linePitch="326" w:charSpace="0"/>
        </w:sectPr>
      </w:pPr>
    </w:p>
    <w:p w14:paraId="0DCC5F12">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Issue 1-2-2: Interruption requirements</w:t>
      </w:r>
    </w:p>
    <w:p w14:paraId="5BFAA724">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w:t>
      </w:r>
      <w:r>
        <w:rPr>
          <w:rFonts w:hint="eastAsia" w:eastAsia="宋体" w:cs="Times New Roman"/>
          <w:i/>
          <w:iCs/>
          <w:color w:val="auto"/>
          <w:sz w:val="20"/>
          <w:szCs w:val="20"/>
          <w:lang w:val="en-US" w:eastAsia="zh-CN"/>
        </w:rPr>
        <w:t>s</w:t>
      </w:r>
      <w:r>
        <w:rPr>
          <w:rFonts w:hint="default" w:ascii="Times New Roman" w:hAnsi="Times New Roman" w:eastAsia="宋体" w:cs="Times New Roman"/>
          <w:i/>
          <w:iCs/>
          <w:color w:val="auto"/>
          <w:sz w:val="20"/>
          <w:szCs w:val="20"/>
          <w:lang w:val="en-US" w:eastAsia="zh-CN"/>
        </w:rPr>
        <w:t>:</w:t>
      </w:r>
    </w:p>
    <w:p w14:paraId="6EE1B248">
      <w:pPr>
        <w:keepNext w:val="0"/>
        <w:keepLines w:val="0"/>
        <w:pageBreakBefore w:val="0"/>
        <w:widowControl/>
        <w:numPr>
          <w:ilvl w:val="1"/>
          <w:numId w:val="5"/>
        </w:numPr>
        <w:tabs>
          <w:tab w:val="left"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eastAsia="宋体" w:cs="Times New Roman"/>
          <w:i/>
          <w:iCs/>
          <w:color w:val="auto"/>
          <w:sz w:val="20"/>
          <w:szCs w:val="20"/>
          <w:lang w:val="en-US" w:eastAsia="zh-CN"/>
        </w:rPr>
      </w:pPr>
      <w:r>
        <w:rPr>
          <w:rFonts w:hint="eastAsia" w:eastAsia="宋体" w:cs="Times New Roman"/>
          <w:i/>
          <w:iCs/>
          <w:color w:val="auto"/>
          <w:sz w:val="20"/>
          <w:szCs w:val="20"/>
          <w:lang w:val="en-US" w:eastAsia="zh-CN"/>
        </w:rPr>
        <w:t>Proposal 1:</w:t>
      </w:r>
    </w:p>
    <w:p w14:paraId="57456169">
      <w:pPr>
        <w:keepNext w:val="0"/>
        <w:keepLines w:val="0"/>
        <w:pageBreakBefore w:val="0"/>
        <w:widowControl/>
        <w:numPr>
          <w:ilvl w:val="2"/>
          <w:numId w:val="5"/>
        </w:numPr>
        <w:tabs>
          <w:tab w:val="left" w:pos="420"/>
        </w:tabs>
        <w:kinsoku/>
        <w:wordWrap/>
        <w:overflowPunct w:val="0"/>
        <w:topLinePunct w:val="0"/>
        <w:autoSpaceDE w:val="0"/>
        <w:autoSpaceDN w:val="0"/>
        <w:bidi w:val="0"/>
        <w:adjustRightInd w:val="0"/>
        <w:snapToGrid/>
        <w:spacing w:before="60" w:after="60"/>
        <w:ind w:left="1566" w:leftChars="0" w:hanging="363"/>
        <w:textAlignment w:val="baseline"/>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For the interruptions caused by SCell addition/release and any types of SCell activation/deactivation, distinguish the interruption requirements for Category 1 and 2.</w:t>
      </w:r>
    </w:p>
    <w:p w14:paraId="5C03A8D7">
      <w:pPr>
        <w:keepNext w:val="0"/>
        <w:keepLines w:val="0"/>
        <w:pageBreakBefore w:val="0"/>
        <w:widowControl/>
        <w:numPr>
          <w:ilvl w:val="3"/>
          <w:numId w:val="5"/>
        </w:numPr>
        <w:tabs>
          <w:tab w:val="left" w:pos="420"/>
        </w:tabs>
        <w:kinsoku/>
        <w:wordWrap/>
        <w:overflowPunct w:val="0"/>
        <w:topLinePunct w:val="0"/>
        <w:autoSpaceDE w:val="0"/>
        <w:autoSpaceDN w:val="0"/>
        <w:bidi w:val="0"/>
        <w:adjustRightInd w:val="0"/>
        <w:snapToGrid/>
        <w:spacing w:before="60" w:after="60"/>
        <w:ind w:left="1986" w:leftChars="0" w:hanging="363"/>
        <w:textAlignment w:val="baseline"/>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Category 1: antenna array assumption in intra-band CA and Case 4 in inter-band CA</w:t>
      </w:r>
    </w:p>
    <w:p w14:paraId="227651C2">
      <w:pPr>
        <w:keepNext w:val="0"/>
        <w:keepLines w:val="0"/>
        <w:pageBreakBefore w:val="0"/>
        <w:widowControl/>
        <w:numPr>
          <w:ilvl w:val="3"/>
          <w:numId w:val="5"/>
        </w:numPr>
        <w:tabs>
          <w:tab w:val="left" w:pos="420"/>
        </w:tabs>
        <w:kinsoku/>
        <w:wordWrap/>
        <w:overflowPunct w:val="0"/>
        <w:topLinePunct w:val="0"/>
        <w:autoSpaceDE w:val="0"/>
        <w:autoSpaceDN w:val="0"/>
        <w:bidi w:val="0"/>
        <w:adjustRightInd w:val="0"/>
        <w:snapToGrid/>
        <w:spacing w:before="60" w:after="60"/>
        <w:ind w:left="1986" w:leftChars="0" w:hanging="363"/>
        <w:textAlignment w:val="baseline"/>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Category 2: other cases</w:t>
      </w:r>
    </w:p>
    <w:p w14:paraId="03029EED">
      <w:pPr>
        <w:keepNext w:val="0"/>
        <w:keepLines w:val="0"/>
        <w:pageBreakBefore w:val="0"/>
        <w:widowControl/>
        <w:numPr>
          <w:ilvl w:val="2"/>
          <w:numId w:val="5"/>
        </w:numPr>
        <w:tabs>
          <w:tab w:val="left" w:pos="420"/>
        </w:tabs>
        <w:kinsoku/>
        <w:wordWrap/>
        <w:overflowPunct w:val="0"/>
        <w:topLinePunct w:val="0"/>
        <w:autoSpaceDE w:val="0"/>
        <w:autoSpaceDN w:val="0"/>
        <w:bidi w:val="0"/>
        <w:adjustRightInd w:val="0"/>
        <w:snapToGrid/>
        <w:spacing w:before="60" w:after="60"/>
        <w:ind w:left="1566" w:leftChars="0" w:hanging="363"/>
        <w:textAlignment w:val="baseline"/>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For other interruptions, define unified interruption requirements for all UE antenna types.</w:t>
      </w:r>
    </w:p>
    <w:p w14:paraId="3F5ADB9B">
      <w:pPr>
        <w:keepNext w:val="0"/>
        <w:keepLines w:val="0"/>
        <w:pageBreakBefore w:val="0"/>
        <w:widowControl/>
        <w:numPr>
          <w:ilvl w:val="0"/>
          <w:numId w:val="0"/>
        </w:numPr>
        <w:tabs>
          <w:tab w:val="left" w:pos="420"/>
        </w:tabs>
        <w:kinsoku/>
        <w:wordWrap/>
        <w:overflowPunct/>
        <w:topLinePunct w:val="0"/>
        <w:autoSpaceDE/>
        <w:autoSpaceDN/>
        <w:bidi w:val="0"/>
        <w:adjustRightInd/>
        <w:snapToGrid/>
        <w:spacing w:before="60" w:after="60"/>
        <w:ind w:leftChars="0"/>
        <w:jc w:val="both"/>
        <w:textAlignment w:val="auto"/>
        <w:rPr>
          <w:rFonts w:hint="eastAsia" w:eastAsia="等线" w:cs="Times New Roman"/>
          <w:sz w:val="20"/>
          <w:szCs w:val="20"/>
          <w:lang w:val="en-US" w:eastAsia="en-GB"/>
        </w:rPr>
      </w:pPr>
      <w:r>
        <w:rPr>
          <w:rFonts w:hint="eastAsia" w:eastAsia="等线" w:cs="Times New Roman"/>
          <w:sz w:val="20"/>
          <w:szCs w:val="20"/>
          <w:lang w:val="en-US" w:eastAsia="zh-CN"/>
        </w:rPr>
        <w:t>In current spec, shorter interruption requirement is expected when two Rx chain will be used between the active serving cells and the SCells being added/released/activated/de-activated, longer interruption requirement is expected when one Rx chain will be shared between the active serving cells and the SCells being added/released/activated/de-activated.</w:t>
      </w:r>
    </w:p>
    <w:p w14:paraId="04B1B190">
      <w:pPr>
        <w:pageBreakBefore w:val="0"/>
        <w:widowControl/>
        <w:tabs>
          <w:tab w:val="left" w:pos="1134"/>
        </w:tabs>
        <w:kinsoku/>
        <w:wordWrap/>
        <w:topLinePunct w:val="0"/>
        <w:bidi w:val="0"/>
        <w:snapToGrid/>
        <w:spacing w:before="60" w:after="60"/>
        <w:jc w:val="both"/>
        <w:rPr>
          <w:rFonts w:hint="eastAsia" w:eastAsia="等线" w:cs="Times New Roman"/>
          <w:sz w:val="20"/>
          <w:szCs w:val="20"/>
          <w:lang w:val="en-US" w:eastAsia="zh-CN"/>
        </w:rPr>
      </w:pPr>
      <w:r>
        <w:rPr>
          <w:rFonts w:hint="eastAsia" w:eastAsia="等线" w:cs="Times New Roman"/>
          <w:sz w:val="20"/>
          <w:szCs w:val="20"/>
          <w:lang w:val="en-US" w:eastAsia="zh-CN"/>
        </w:rPr>
        <w:t>For ATG UE capable of inter-band CA, including Case 4 and Case 5, when RAN4 define the requirements, such as MRTD, the working assumption is that UE is capable of two separate Rx chains. Follow the legacy methodology, shorter interruption requirement shall be used.</w:t>
      </w:r>
    </w:p>
    <w:p w14:paraId="4F8BB915">
      <w:pPr>
        <w:pageBreakBefore w:val="0"/>
        <w:widowControl/>
        <w:tabs>
          <w:tab w:val="left" w:pos="1134"/>
        </w:tabs>
        <w:kinsoku/>
        <w:wordWrap/>
        <w:topLinePunct w:val="0"/>
        <w:bidi w:val="0"/>
        <w:snapToGrid/>
        <w:spacing w:before="60" w:after="60"/>
        <w:jc w:val="both"/>
        <w:rPr>
          <w:rFonts w:hint="eastAsia" w:ascii="Times New Roman" w:hAnsi="Times New Roman" w:eastAsia="宋体" w:cs="Times New Roman"/>
          <w:color w:val="auto"/>
          <w:sz w:val="20"/>
          <w:szCs w:val="20"/>
          <w:lang w:val="en-US" w:eastAsia="zh-CN"/>
        </w:rPr>
      </w:pPr>
      <w:r>
        <w:rPr>
          <w:rFonts w:hint="default"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4</w:t>
      </w:r>
      <w:r>
        <w:rPr>
          <w:rFonts w:hint="default"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Regardless UE Rx beam type, if the active serving cell and the SCell being added/released or activated/de-activated are in a FR1 band pair, the interruption requirement for inter-band CA shall be used.</w:t>
      </w:r>
    </w:p>
    <w:p w14:paraId="7042D9DE">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eastAsia" w:ascii="Times New Roman" w:hAnsi="Times New Roman" w:eastAsia="宋体" w:cs="Times New Roman"/>
          <w:color w:val="auto"/>
          <w:sz w:val="20"/>
          <w:szCs w:val="20"/>
          <w:lang w:val="en-US" w:eastAsia="zh-CN"/>
        </w:rPr>
      </w:pPr>
    </w:p>
    <w:p w14:paraId="4F85F38A">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zh-CN"/>
        </w:rPr>
      </w:pPr>
      <w:r>
        <w:rPr>
          <w:rFonts w:hint="eastAsia" w:ascii="Times New Roman" w:hAnsi="Times New Roman" w:cs="Times New Roman"/>
          <w:b/>
          <w:i/>
          <w:iCs/>
          <w:color w:val="auto"/>
          <w:sz w:val="20"/>
          <w:szCs w:val="20"/>
          <w:u w:val="single"/>
          <w:lang w:val="en-US" w:eastAsia="zh-CN"/>
        </w:rPr>
        <w:t>Issue 1-2-3: SCell act</w:t>
      </w:r>
      <w:r>
        <w:rPr>
          <w:rFonts w:hint="default" w:ascii="Times New Roman" w:hAnsi="Times New Roman" w:cs="Times New Roman"/>
          <w:b/>
          <w:i/>
          <w:iCs/>
          <w:color w:val="auto"/>
          <w:sz w:val="20"/>
          <w:szCs w:val="20"/>
          <w:u w:val="single"/>
          <w:lang w:val="en-US" w:eastAsia="zh-CN"/>
        </w:rPr>
        <w:t>ivation delay enhancement</w:t>
      </w:r>
    </w:p>
    <w:p w14:paraId="5C9A97D5">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Proposals</w:t>
      </w:r>
    </w:p>
    <w:p w14:paraId="0F1A5C80">
      <w:pPr>
        <w:pStyle w:val="79"/>
        <w:keepNext w:val="0"/>
        <w:keepLines w:val="0"/>
        <w:pageBreakBefore w:val="0"/>
        <w:widowControl/>
        <w:numPr>
          <w:ilvl w:val="1"/>
          <w:numId w:val="5"/>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highlight w:val="none"/>
          <w:lang w:val="en-US" w:eastAsia="zh-CN"/>
        </w:rPr>
      </w:pPr>
      <w:r>
        <w:rPr>
          <w:rFonts w:hint="default" w:ascii="Times New Roman" w:hAnsi="Times New Roman" w:eastAsia="宋体" w:cs="Times New Roman"/>
          <w:i/>
          <w:iCs/>
          <w:color w:val="auto"/>
          <w:sz w:val="20"/>
          <w:szCs w:val="20"/>
          <w:lang w:val="en-US" w:eastAsia="zh-CN"/>
        </w:rPr>
        <w:t>Proposal 1: If the target S</w:t>
      </w:r>
      <w:r>
        <w:rPr>
          <w:rFonts w:hint="default" w:ascii="Times New Roman" w:hAnsi="Times New Roman" w:eastAsia="宋体" w:cs="Times New Roman"/>
          <w:i/>
          <w:iCs/>
          <w:color w:val="auto"/>
          <w:sz w:val="20"/>
          <w:szCs w:val="20"/>
          <w:highlight w:val="none"/>
          <w:lang w:val="en-US" w:eastAsia="zh-CN"/>
        </w:rPr>
        <w:t xml:space="preserve">Cell is known by the UE and frequency ranges of both bands are less than or equivalent to X MHz with common beam management the </w:t>
      </w:r>
      <w:r>
        <w:rPr>
          <w:rFonts w:hint="default" w:ascii="Times New Roman" w:hAnsi="Times New Roman" w:cs="Times New Roman"/>
          <w:i/>
          <w:iCs/>
          <w:color w:val="auto"/>
          <w:sz w:val="20"/>
          <w:szCs w:val="20"/>
          <w:highlight w:val="none"/>
        </w:rPr>
        <w:t>T</w:t>
      </w:r>
      <w:r>
        <w:rPr>
          <w:rFonts w:hint="default" w:ascii="Times New Roman" w:hAnsi="Times New Roman" w:cs="Times New Roman"/>
          <w:i/>
          <w:iCs/>
          <w:color w:val="auto"/>
          <w:sz w:val="20"/>
          <w:szCs w:val="20"/>
          <w:highlight w:val="none"/>
          <w:vertAlign w:val="subscript"/>
        </w:rPr>
        <w:t>activation_time</w:t>
      </w:r>
      <w:r>
        <w:rPr>
          <w:rFonts w:hint="default" w:ascii="Times New Roman" w:hAnsi="Times New Roman" w:eastAsia="宋体" w:cs="Times New Roman"/>
          <w:i/>
          <w:iCs/>
          <w:color w:val="auto"/>
          <w:sz w:val="20"/>
          <w:szCs w:val="20"/>
          <w:highlight w:val="none"/>
          <w:vertAlign w:val="subscript"/>
          <w:lang w:val="en-US" w:eastAsia="zh-CN"/>
        </w:rPr>
        <w:t xml:space="preserve"> </w:t>
      </w:r>
      <w:r>
        <w:rPr>
          <w:rFonts w:hint="default" w:ascii="Times New Roman" w:hAnsi="Times New Roman" w:eastAsia="宋体" w:cs="Times New Roman"/>
          <w:i/>
          <w:iCs/>
          <w:color w:val="auto"/>
          <w:sz w:val="20"/>
          <w:szCs w:val="20"/>
          <w:highlight w:val="none"/>
          <w:lang w:val="en-US" w:eastAsia="zh-CN"/>
        </w:rPr>
        <w:t>can be 3ms</w:t>
      </w:r>
    </w:p>
    <w:p w14:paraId="516500A0">
      <w:pPr>
        <w:pStyle w:val="79"/>
        <w:keepNext w:val="0"/>
        <w:keepLines w:val="0"/>
        <w:pageBreakBefore w:val="0"/>
        <w:widowControl/>
        <w:numPr>
          <w:ilvl w:val="1"/>
          <w:numId w:val="5"/>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highlight w:val="none"/>
          <w:lang w:val="en-US" w:eastAsia="zh-CN"/>
        </w:rPr>
      </w:pPr>
      <w:r>
        <w:rPr>
          <w:rFonts w:hint="default" w:ascii="Times New Roman" w:hAnsi="Times New Roman" w:eastAsia="宋体" w:cs="Times New Roman"/>
          <w:i/>
          <w:iCs/>
          <w:color w:val="auto"/>
          <w:sz w:val="20"/>
          <w:szCs w:val="20"/>
          <w:highlight w:val="none"/>
          <w:lang w:val="en-US" w:eastAsia="zh-CN"/>
        </w:rPr>
        <w:t xml:space="preserve">Proposal 2: if the target SCell is unknown, frequency ranges of both bands are less than or equal to X MHz </w:t>
      </w:r>
      <w:r>
        <w:rPr>
          <w:rFonts w:hint="default" w:ascii="Times New Roman" w:hAnsi="Times New Roman" w:cs="Times New Roman"/>
          <w:i/>
          <w:iCs/>
          <w:color w:val="auto"/>
          <w:sz w:val="20"/>
          <w:szCs w:val="20"/>
          <w:highlight w:val="none"/>
        </w:rPr>
        <w:t>T</w:t>
      </w:r>
      <w:r>
        <w:rPr>
          <w:rFonts w:hint="default" w:ascii="Times New Roman" w:hAnsi="Times New Roman" w:cs="Times New Roman"/>
          <w:i/>
          <w:iCs/>
          <w:color w:val="auto"/>
          <w:sz w:val="20"/>
          <w:szCs w:val="20"/>
          <w:highlight w:val="none"/>
          <w:vertAlign w:val="subscript"/>
        </w:rPr>
        <w:t>activation_time</w:t>
      </w:r>
      <w:r>
        <w:rPr>
          <w:rFonts w:hint="default" w:ascii="Times New Roman" w:hAnsi="Times New Roman" w:eastAsia="宋体" w:cs="Times New Roman"/>
          <w:i/>
          <w:iCs/>
          <w:color w:val="auto"/>
          <w:sz w:val="20"/>
          <w:szCs w:val="20"/>
          <w:highlight w:val="none"/>
          <w:lang w:val="en-US" w:eastAsia="zh-CN"/>
        </w:rPr>
        <w:t xml:space="preserve"> is 3ms+T</w:t>
      </w:r>
      <w:r>
        <w:rPr>
          <w:rFonts w:hint="default" w:ascii="Times New Roman" w:hAnsi="Times New Roman" w:eastAsia="宋体" w:cs="Times New Roman"/>
          <w:i/>
          <w:iCs/>
          <w:color w:val="auto"/>
          <w:sz w:val="20"/>
          <w:szCs w:val="20"/>
          <w:highlight w:val="none"/>
          <w:vertAlign w:val="subscript"/>
          <w:lang w:val="en-US" w:eastAsia="zh-CN"/>
        </w:rPr>
        <w:t>FirstSSB</w:t>
      </w:r>
      <w:r>
        <w:rPr>
          <w:rFonts w:hint="default" w:ascii="Times New Roman" w:hAnsi="Times New Roman" w:eastAsia="宋体" w:cs="Times New Roman"/>
          <w:i/>
          <w:iCs/>
          <w:color w:val="auto"/>
          <w:sz w:val="20"/>
          <w:szCs w:val="20"/>
          <w:highlight w:val="none"/>
          <w:lang w:val="en-US" w:eastAsia="zh-CN"/>
        </w:rPr>
        <w:t>+ 2ms.</w:t>
      </w:r>
    </w:p>
    <w:p w14:paraId="02C32532">
      <w:pPr>
        <w:pageBreakBefore w:val="0"/>
        <w:widowControl/>
        <w:tabs>
          <w:tab w:val="left" w:pos="1134"/>
        </w:tabs>
        <w:kinsoku/>
        <w:wordWrap/>
        <w:topLinePunct w:val="0"/>
        <w:bidi w:val="0"/>
        <w:snapToGrid/>
        <w:spacing w:before="60" w:after="60"/>
        <w:jc w:val="both"/>
        <w:rPr>
          <w:rFonts w:hint="default" w:eastAsia="宋体"/>
          <w:sz w:val="20"/>
          <w:szCs w:val="20"/>
          <w:lang w:val="en-US" w:eastAsia="zh-CN"/>
        </w:rPr>
      </w:pPr>
      <w:r>
        <w:rPr>
          <w:rFonts w:hint="eastAsia" w:eastAsia="等线" w:cs="Times New Roman"/>
          <w:sz w:val="20"/>
          <w:szCs w:val="20"/>
          <w:lang w:val="en-US" w:eastAsia="zh-CN"/>
        </w:rPr>
        <w:t xml:space="preserve">In legacy, except for SSB-less scenario, for intra-band CA known case, the sync time in SCell activation delay requirement is needed. For SSB-less intra-band CA scenario, 3ms can be used at least provided that RTD is </w:t>
      </w:r>
      <w:r>
        <w:rPr>
          <w:sz w:val="20"/>
          <w:szCs w:val="20"/>
          <w:lang w:eastAsia="en-GB"/>
        </w:rPr>
        <w:t>within ±260ns</w:t>
      </w:r>
      <w:r>
        <w:rPr>
          <w:rFonts w:hint="eastAsia" w:eastAsia="宋体"/>
          <w:sz w:val="20"/>
          <w:szCs w:val="20"/>
          <w:lang w:val="en-US" w:eastAsia="zh-CN"/>
        </w:rPr>
        <w:t xml:space="preserve"> and RPD is within </w:t>
      </w:r>
      <w:r>
        <w:rPr>
          <w:sz w:val="20"/>
          <w:szCs w:val="20"/>
        </w:rPr>
        <w:t>6 dB</w:t>
      </w:r>
      <w:r>
        <w:rPr>
          <w:rFonts w:hint="eastAsia" w:eastAsia="宋体"/>
          <w:sz w:val="20"/>
          <w:szCs w:val="20"/>
          <w:lang w:val="en-US" w:eastAsia="zh-CN"/>
        </w:rPr>
        <w:t>. For inter-band CA known case, the sync time in activation delay requirement is always needed.</w:t>
      </w:r>
    </w:p>
    <w:p w14:paraId="522FF4B1">
      <w:pPr>
        <w:pageBreakBefore w:val="0"/>
        <w:widowControl/>
        <w:tabs>
          <w:tab w:val="left" w:pos="1134"/>
        </w:tabs>
        <w:kinsoku/>
        <w:wordWrap/>
        <w:topLinePunct w:val="0"/>
        <w:bidi w:val="0"/>
        <w:snapToGrid/>
        <w:spacing w:before="60" w:after="60"/>
        <w:jc w:val="both"/>
        <w:rPr>
          <w:rFonts w:hint="default" w:eastAsia="等线" w:cs="Times New Roman"/>
          <w:sz w:val="20"/>
          <w:szCs w:val="20"/>
          <w:lang w:val="en-US" w:eastAsia="zh-CN"/>
        </w:rPr>
      </w:pPr>
      <w:r>
        <w:rPr>
          <w:rFonts w:hint="eastAsia" w:eastAsia="等线" w:cs="Times New Roman"/>
          <w:sz w:val="20"/>
          <w:szCs w:val="20"/>
          <w:lang w:val="en-US" w:eastAsia="zh-CN"/>
        </w:rPr>
        <w:t xml:space="preserve">For ATG intra-band CA, RTD </w:t>
      </w:r>
      <w:r>
        <w:rPr>
          <w:sz w:val="20"/>
          <w:szCs w:val="20"/>
          <w:lang w:eastAsia="en-GB"/>
        </w:rPr>
        <w:t>within ±260ns</w:t>
      </w:r>
      <w:r>
        <w:rPr>
          <w:rFonts w:hint="eastAsia" w:eastAsia="宋体"/>
          <w:sz w:val="20"/>
          <w:szCs w:val="20"/>
          <w:lang w:val="en-US" w:eastAsia="zh-CN"/>
        </w:rPr>
        <w:t xml:space="preserve"> and RPD within </w:t>
      </w:r>
      <w:r>
        <w:rPr>
          <w:sz w:val="20"/>
          <w:szCs w:val="20"/>
        </w:rPr>
        <w:t>6 dB</w:t>
      </w:r>
      <w:r>
        <w:rPr>
          <w:rFonts w:hint="eastAsia" w:eastAsia="宋体"/>
          <w:sz w:val="20"/>
          <w:szCs w:val="20"/>
          <w:lang w:val="en-US" w:eastAsia="zh-CN"/>
        </w:rPr>
        <w:t xml:space="preserve"> can not be always guaranteed, therefore, the sync time is needed. For ATG inter-band CA,</w:t>
      </w:r>
      <w:r>
        <w:rPr>
          <w:rFonts w:hint="eastAsia" w:eastAsia="等线" w:cs="Times New Roman"/>
          <w:sz w:val="20"/>
          <w:szCs w:val="20"/>
          <w:lang w:val="en-US" w:eastAsia="zh-CN"/>
        </w:rPr>
        <w:t xml:space="preserve"> even through we consider RTD only including TAE 3</w:t>
      </w:r>
      <w:r>
        <w:rPr>
          <w:rFonts w:hint="default" w:ascii="Times New Roman" w:hAnsi="Times New Roman" w:eastAsia="等线" w:cs="Times New Roman"/>
          <w:sz w:val="20"/>
          <w:szCs w:val="20"/>
          <w:lang w:val="en-US" w:eastAsia="zh-CN"/>
        </w:rPr>
        <w:t>µ</w:t>
      </w:r>
      <w:r>
        <w:rPr>
          <w:rFonts w:hint="eastAsia" w:eastAsia="等线" w:cs="Times New Roman"/>
          <w:sz w:val="20"/>
          <w:szCs w:val="20"/>
          <w:lang w:val="en-US" w:eastAsia="zh-CN"/>
        </w:rPr>
        <w:t>s, the PCell and SCell can not share the sync information due to 3</w:t>
      </w:r>
      <w:r>
        <w:rPr>
          <w:rFonts w:hint="default" w:ascii="Times New Roman" w:hAnsi="Times New Roman" w:eastAsia="等线" w:cs="Times New Roman"/>
          <w:sz w:val="20"/>
          <w:szCs w:val="20"/>
          <w:lang w:val="en-US" w:eastAsia="zh-CN"/>
        </w:rPr>
        <w:t>µ</w:t>
      </w:r>
      <w:r>
        <w:rPr>
          <w:rFonts w:hint="eastAsia" w:eastAsia="等线" w:cs="Times New Roman"/>
          <w:sz w:val="20"/>
          <w:szCs w:val="20"/>
          <w:lang w:val="en-US" w:eastAsia="zh-CN"/>
        </w:rPr>
        <w:t>s is longer than CP/2. Therefore, the sync time in SCell activation delay requirement is always needed.</w:t>
      </w:r>
    </w:p>
    <w:p w14:paraId="4C0FFB1C">
      <w:pPr>
        <w:pageBreakBefore w:val="0"/>
        <w:widowControl/>
        <w:tabs>
          <w:tab w:val="left" w:pos="1134"/>
        </w:tabs>
        <w:kinsoku/>
        <w:wordWrap/>
        <w:topLinePunct w:val="0"/>
        <w:bidi w:val="0"/>
        <w:snapToGrid/>
        <w:spacing w:before="60" w:after="60"/>
        <w:jc w:val="both"/>
        <w:rPr>
          <w:rFonts w:hint="default" w:eastAsia="等线" w:cs="Times New Roman"/>
          <w:sz w:val="20"/>
          <w:szCs w:val="20"/>
          <w:lang w:val="en-US" w:eastAsia="zh-CN"/>
        </w:rPr>
      </w:pPr>
      <w:r>
        <w:rPr>
          <w:rFonts w:hint="eastAsia" w:eastAsia="等线" w:cs="Times New Roman"/>
          <w:sz w:val="20"/>
          <w:szCs w:val="20"/>
          <w:lang w:val="en-US" w:eastAsia="zh-CN"/>
        </w:rPr>
        <w:t xml:space="preserve">Hence, the delay enhancement proposed in proposal 1 and proposal 2 can not be applied in ATG scenario. </w:t>
      </w:r>
    </w:p>
    <w:p w14:paraId="094F2D9F">
      <w:pPr>
        <w:pageBreakBefore w:val="0"/>
        <w:widowControl/>
        <w:tabs>
          <w:tab w:val="left" w:pos="1134"/>
        </w:tabs>
        <w:kinsoku/>
        <w:wordWrap/>
        <w:topLinePunct w:val="0"/>
        <w:bidi w:val="0"/>
        <w:snapToGrid/>
        <w:spacing w:before="60" w:after="60"/>
        <w:jc w:val="both"/>
        <w:rPr>
          <w:rFonts w:hint="eastAsia" w:eastAsia="等线" w:cs="Times New Roman"/>
          <w:sz w:val="20"/>
          <w:szCs w:val="20"/>
          <w:lang w:val="en-US" w:eastAsia="zh-CN"/>
        </w:rPr>
      </w:pPr>
      <w:r>
        <w:rPr>
          <w:rFonts w:hint="default"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5</w:t>
      </w:r>
      <w:r>
        <w:rPr>
          <w:rFonts w:hint="default"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Reuse the legacy SCell activation delay requirement for ATG.</w:t>
      </w:r>
    </w:p>
    <w:p w14:paraId="31E24185">
      <w:pPr>
        <w:pageBreakBefore w:val="0"/>
        <w:widowControl/>
        <w:tabs>
          <w:tab w:val="left" w:pos="1134"/>
        </w:tabs>
        <w:kinsoku/>
        <w:wordWrap/>
        <w:topLinePunct w:val="0"/>
        <w:bidi w:val="0"/>
        <w:snapToGrid/>
        <w:spacing w:before="60" w:after="60"/>
        <w:jc w:val="both"/>
        <w:rPr>
          <w:rFonts w:hint="default" w:eastAsia="等线" w:cs="Times New Roman"/>
          <w:sz w:val="20"/>
          <w:szCs w:val="20"/>
          <w:lang w:val="en-US" w:eastAsia="zh-CN"/>
        </w:rPr>
      </w:pPr>
    </w:p>
    <w:p w14:paraId="6F5ADD5A">
      <w:pPr>
        <w:pStyle w:val="79"/>
        <w:keepNext w:val="0"/>
        <w:keepLines w:val="0"/>
        <w:pageBreakBefore w:val="0"/>
        <w:widowControl/>
        <w:kinsoku/>
        <w:wordWrap/>
        <w:overflowPunct/>
        <w:topLinePunct w:val="0"/>
        <w:autoSpaceDE/>
        <w:autoSpaceDN/>
        <w:bidi w:val="0"/>
        <w:adjustRightInd/>
        <w:snapToGrid/>
        <w:spacing w:before="60" w:after="60"/>
        <w:ind w:firstLine="0" w:firstLineChars="0"/>
        <w:textAlignment w:val="auto"/>
        <w:rPr>
          <w:rFonts w:hint="default" w:ascii="Times New Roman" w:hAnsi="Times New Roman" w:eastAsia="宋体" w:cs="Times New Roman"/>
          <w:b/>
          <w:i/>
          <w:iCs/>
          <w:color w:val="auto"/>
          <w:sz w:val="20"/>
          <w:szCs w:val="20"/>
          <w:u w:val="single"/>
          <w:lang w:val="en-US" w:eastAsia="ko-KR"/>
        </w:rPr>
      </w:pPr>
      <w:r>
        <w:rPr>
          <w:rFonts w:hint="default" w:ascii="Times New Roman" w:hAnsi="Times New Roman" w:eastAsia="宋体" w:cs="Times New Roman"/>
          <w:b/>
          <w:i/>
          <w:iCs/>
          <w:color w:val="auto"/>
          <w:sz w:val="20"/>
          <w:szCs w:val="20"/>
          <w:u w:val="single"/>
          <w:lang w:val="en-US" w:eastAsia="zh-CN"/>
        </w:rPr>
        <w:t>Issue 1-3-2: Sharing factor between L1 measurement and RRM measurement</w:t>
      </w:r>
    </w:p>
    <w:p w14:paraId="00D6FA25">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Proposal 1: </w:t>
      </w:r>
    </w:p>
    <w:p w14:paraId="179E6B72">
      <w:pPr>
        <w:keepNext w:val="0"/>
        <w:keepLines w:val="0"/>
        <w:pageBreakBefore w:val="0"/>
        <w:widowControl/>
        <w:numPr>
          <w:ilvl w:val="1"/>
          <w:numId w:val="5"/>
        </w:numPr>
        <w:tabs>
          <w:tab w:val="left"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cs="Times New Roman" w:eastAsiaTheme="minorEastAsia"/>
          <w:bCs/>
          <w:i/>
          <w:iCs/>
          <w:color w:val="auto"/>
          <w:sz w:val="20"/>
          <w:szCs w:val="20"/>
          <w:lang w:eastAsia="ko-KR" w:bidi="ar"/>
        </w:rPr>
      </w:pPr>
      <w:r>
        <w:rPr>
          <w:rFonts w:hint="default" w:ascii="Times New Roman" w:hAnsi="Times New Roman" w:cs="Times New Roman"/>
          <w:i/>
          <w:iCs/>
          <w:color w:val="auto"/>
          <w:sz w:val="20"/>
          <w:szCs w:val="20"/>
          <w:lang w:eastAsia="ko-KR"/>
        </w:rPr>
        <w:t xml:space="preserve">Consider impact on </w:t>
      </w:r>
      <w:r>
        <w:rPr>
          <w:rFonts w:hint="default" w:ascii="Times New Roman" w:hAnsi="Times New Roman" w:cs="Times New Roman"/>
          <w:i/>
          <w:iCs/>
          <w:color w:val="auto"/>
          <w:sz w:val="20"/>
          <w:szCs w:val="20"/>
        </w:rPr>
        <w:t>K</w:t>
      </w:r>
      <w:r>
        <w:rPr>
          <w:rFonts w:hint="default" w:ascii="Times New Roman" w:hAnsi="Times New Roman" w:cs="Times New Roman"/>
          <w:i/>
          <w:iCs/>
          <w:color w:val="auto"/>
          <w:sz w:val="20"/>
          <w:szCs w:val="20"/>
          <w:vertAlign w:val="subscript"/>
        </w:rPr>
        <w:t>layer1_measurement</w:t>
      </w:r>
      <w:r>
        <w:rPr>
          <w:rFonts w:hint="default" w:ascii="Times New Roman" w:hAnsi="Times New Roman" w:cs="Times New Roman"/>
          <w:i/>
          <w:iCs/>
          <w:color w:val="auto"/>
          <w:sz w:val="20"/>
          <w:szCs w:val="20"/>
          <w:lang w:eastAsia="ko-KR"/>
        </w:rPr>
        <w:t xml:space="preserve"> due to 33usec MRTD for Case 4 antenna type, e.g., </w:t>
      </w:r>
    </w:p>
    <w:p w14:paraId="6E1040ED">
      <w:pPr>
        <w:keepNext w:val="0"/>
        <w:keepLines w:val="0"/>
        <w:pageBreakBefore w:val="0"/>
        <w:widowControl/>
        <w:numPr>
          <w:ilvl w:val="2"/>
          <w:numId w:val="5"/>
        </w:numPr>
        <w:tabs>
          <w:tab w:val="left" w:pos="420"/>
        </w:tabs>
        <w:kinsoku/>
        <w:wordWrap/>
        <w:overflowPunct w:val="0"/>
        <w:topLinePunct w:val="0"/>
        <w:autoSpaceDE w:val="0"/>
        <w:autoSpaceDN w:val="0"/>
        <w:bidi w:val="0"/>
        <w:adjustRightInd w:val="0"/>
        <w:snapToGrid/>
        <w:spacing w:before="60" w:after="60"/>
        <w:ind w:left="1566" w:leftChars="0" w:hanging="363"/>
        <w:textAlignment w:val="baseline"/>
        <w:rPr>
          <w:rFonts w:hint="default" w:ascii="Times New Roman" w:hAnsi="Times New Roman" w:cs="Times New Roman" w:eastAsiaTheme="minorEastAsia"/>
          <w:bCs/>
          <w:i/>
          <w:iCs/>
          <w:color w:val="auto"/>
          <w:sz w:val="20"/>
          <w:szCs w:val="20"/>
          <w:lang w:eastAsia="ko-KR" w:bidi="ar"/>
        </w:rPr>
      </w:pPr>
      <w:r>
        <w:rPr>
          <w:rFonts w:hint="default" w:ascii="Times New Roman" w:hAnsi="Times New Roman" w:cs="Times New Roman"/>
          <w:i/>
          <w:iCs/>
          <w:color w:val="auto"/>
          <w:sz w:val="20"/>
          <w:szCs w:val="20"/>
        </w:rPr>
        <w:t>if all of the reference signal configured for RLM, BFD, CBD or L1-RSRP for beam reporting outside measurement gap and fully-overlapped by intra-frequency SMTC occasions are not overlapped with any of the SSB symbols and the RSSI symbols, and</w:t>
      </w:r>
      <w:r>
        <w:rPr>
          <w:rFonts w:hint="default" w:ascii="Times New Roman" w:hAnsi="Times New Roman" w:cs="Times New Roman"/>
          <w:b/>
          <w:bCs/>
          <w:i/>
          <w:iCs/>
          <w:color w:val="auto"/>
          <w:sz w:val="20"/>
          <w:szCs w:val="20"/>
          <w:highlight w:val="none"/>
        </w:rPr>
        <w:t xml:space="preserve"> </w:t>
      </w:r>
      <w:r>
        <w:rPr>
          <w:rFonts w:hint="default" w:ascii="Times New Roman" w:hAnsi="Times New Roman" w:cs="Times New Roman"/>
          <w:b/>
          <w:bCs/>
          <w:i/>
          <w:iCs/>
          <w:color w:val="auto"/>
          <w:sz w:val="20"/>
          <w:szCs w:val="20"/>
          <w:highlight w:val="none"/>
          <w:lang w:eastAsia="ko-KR"/>
        </w:rPr>
        <w:t>2</w:t>
      </w:r>
      <w:r>
        <w:rPr>
          <w:rFonts w:hint="default" w:ascii="Times New Roman" w:hAnsi="Times New Roman" w:cs="Times New Roman"/>
          <w:b/>
          <w:bCs/>
          <w:i/>
          <w:iCs/>
          <w:color w:val="auto"/>
          <w:sz w:val="20"/>
          <w:szCs w:val="20"/>
          <w:highlight w:val="none"/>
        </w:rPr>
        <w:t xml:space="preserve"> symbol</w:t>
      </w:r>
      <w:r>
        <w:rPr>
          <w:rFonts w:hint="default" w:ascii="Times New Roman" w:hAnsi="Times New Roman" w:cs="Times New Roman"/>
          <w:i/>
          <w:iCs/>
          <w:color w:val="auto"/>
          <w:sz w:val="20"/>
          <w:szCs w:val="20"/>
        </w:rPr>
        <w:t xml:space="preserve"> before each consecutive SSB symbols and the RSSI symbols, and </w:t>
      </w:r>
      <w:r>
        <w:rPr>
          <w:rFonts w:hint="default" w:ascii="Times New Roman" w:hAnsi="Times New Roman" w:cs="Times New Roman"/>
          <w:b/>
          <w:bCs/>
          <w:i/>
          <w:iCs/>
          <w:color w:val="auto"/>
          <w:sz w:val="20"/>
          <w:szCs w:val="20"/>
          <w:highlight w:val="none"/>
          <w:lang w:eastAsia="ko-KR"/>
        </w:rPr>
        <w:t>2</w:t>
      </w:r>
      <w:r>
        <w:rPr>
          <w:rFonts w:hint="default" w:ascii="Times New Roman" w:hAnsi="Times New Roman" w:cs="Times New Roman"/>
          <w:b/>
          <w:bCs/>
          <w:i/>
          <w:iCs/>
          <w:color w:val="auto"/>
          <w:sz w:val="20"/>
          <w:szCs w:val="20"/>
          <w:highlight w:val="none"/>
        </w:rPr>
        <w:t xml:space="preserve"> symbol</w:t>
      </w:r>
      <w:r>
        <w:rPr>
          <w:rFonts w:hint="default" w:ascii="Times New Roman" w:hAnsi="Times New Roman" w:cs="Times New Roman"/>
          <w:i/>
          <w:iCs/>
          <w:color w:val="auto"/>
          <w:sz w:val="20"/>
          <w:szCs w:val="20"/>
        </w:rPr>
        <w:t xml:space="preserve"> after each consecutive SSB symbols and the RSSI symbols </w:t>
      </w:r>
      <w:r>
        <w:rPr>
          <w:rFonts w:hint="default" w:ascii="Times New Roman" w:hAnsi="Times New Roman" w:cs="Times New Roman"/>
          <w:b/>
          <w:bCs/>
          <w:i/>
          <w:iCs/>
          <w:color w:val="auto"/>
          <w:sz w:val="20"/>
          <w:szCs w:val="20"/>
          <w:highlight w:val="none"/>
          <w:lang w:eastAsia="ko-KR"/>
        </w:rPr>
        <w:t>of</w:t>
      </w:r>
      <w:r>
        <w:rPr>
          <w:rFonts w:hint="default" w:ascii="Times New Roman" w:hAnsi="Times New Roman" w:cs="Times New Roman"/>
          <w:b/>
          <w:bCs/>
          <w:i/>
          <w:iCs/>
          <w:color w:val="auto"/>
          <w:sz w:val="20"/>
          <w:szCs w:val="20"/>
          <w:highlight w:val="none"/>
        </w:rPr>
        <w:t xml:space="preserve"> serving cell</w:t>
      </w:r>
      <w:r>
        <w:rPr>
          <w:rFonts w:hint="default" w:ascii="Times New Roman" w:hAnsi="Times New Roman" w:cs="Times New Roman"/>
          <w:b/>
          <w:bCs/>
          <w:i/>
          <w:iCs/>
          <w:color w:val="auto"/>
          <w:sz w:val="20"/>
          <w:szCs w:val="20"/>
          <w:highlight w:val="none"/>
          <w:lang w:eastAsia="ko-KR"/>
        </w:rPr>
        <w:t>s</w:t>
      </w:r>
      <w:r>
        <w:rPr>
          <w:rFonts w:hint="default" w:ascii="Times New Roman" w:hAnsi="Times New Roman" w:cs="Times New Roman"/>
          <w:b/>
          <w:bCs/>
          <w:i/>
          <w:iCs/>
          <w:color w:val="auto"/>
          <w:sz w:val="20"/>
          <w:szCs w:val="20"/>
          <w:highlight w:val="none"/>
        </w:rPr>
        <w:t xml:space="preserve"> when inter-band carrier aggregation within FR1 is configured and UE support</w:t>
      </w:r>
      <w:r>
        <w:rPr>
          <w:rFonts w:hint="default" w:ascii="Times New Roman" w:hAnsi="Times New Roman" w:cs="Times New Roman"/>
          <w:b/>
          <w:bCs/>
          <w:i/>
          <w:iCs/>
          <w:color w:val="auto"/>
          <w:sz w:val="20"/>
          <w:szCs w:val="20"/>
          <w:highlight w:val="none"/>
          <w:lang w:eastAsia="ko-KR"/>
        </w:rPr>
        <w:t>s</w:t>
      </w:r>
      <w:r>
        <w:rPr>
          <w:rFonts w:hint="default" w:ascii="Times New Roman" w:hAnsi="Times New Roman" w:cs="Times New Roman"/>
          <w:b/>
          <w:bCs/>
          <w:i/>
          <w:iCs/>
          <w:color w:val="auto"/>
          <w:sz w:val="20"/>
          <w:szCs w:val="20"/>
          <w:highlight w:val="none"/>
        </w:rPr>
        <w:t xml:space="preserve"> </w:t>
      </w:r>
      <w:r>
        <w:rPr>
          <w:rFonts w:hint="default" w:ascii="Times New Roman" w:hAnsi="Times New Roman" w:cs="Times New Roman"/>
          <w:b/>
          <w:bCs/>
          <w:i/>
          <w:iCs/>
          <w:color w:val="auto"/>
          <w:sz w:val="20"/>
          <w:szCs w:val="20"/>
          <w:highlight w:val="none"/>
          <w:lang w:eastAsia="ko-KR"/>
        </w:rPr>
        <w:t>[</w:t>
      </w:r>
      <w:r>
        <w:rPr>
          <w:rFonts w:hint="default" w:ascii="Times New Roman" w:hAnsi="Times New Roman" w:cs="Times New Roman"/>
          <w:b/>
          <w:bCs/>
          <w:i/>
          <w:iCs/>
          <w:color w:val="auto"/>
          <w:sz w:val="20"/>
          <w:szCs w:val="20"/>
          <w:highlight w:val="none"/>
        </w:rPr>
        <w:t>capability of case 4]</w:t>
      </w:r>
      <w:r>
        <w:rPr>
          <w:rFonts w:hint="default" w:ascii="Times New Roman" w:hAnsi="Times New Roman" w:cs="Times New Roman"/>
          <w:i/>
          <w:iCs/>
          <w:color w:val="auto"/>
          <w:sz w:val="20"/>
          <w:szCs w:val="20"/>
        </w:rPr>
        <w:t>,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14:paraId="0B2ECEE7">
      <w:pPr>
        <w:pageBreakBefore w:val="0"/>
        <w:widowControl/>
        <w:tabs>
          <w:tab w:val="left" w:pos="1134"/>
        </w:tabs>
        <w:kinsoku/>
        <w:wordWrap/>
        <w:topLinePunct w:val="0"/>
        <w:bidi w:val="0"/>
        <w:snapToGrid/>
        <w:spacing w:before="60" w:after="60"/>
        <w:jc w:val="both"/>
        <w:rPr>
          <w:rFonts w:hint="eastAsia" w:eastAsia="等线" w:cs="Times New Roman"/>
          <w:sz w:val="20"/>
          <w:szCs w:val="20"/>
          <w:lang w:val="en-US" w:eastAsia="zh-CN"/>
        </w:rPr>
      </w:pPr>
      <w:r>
        <w:rPr>
          <w:rFonts w:hint="eastAsia" w:eastAsia="等线" w:cs="Times New Roman"/>
          <w:sz w:val="20"/>
          <w:szCs w:val="20"/>
          <w:lang w:val="en-US" w:eastAsia="zh-CN"/>
        </w:rPr>
        <w:t xml:space="preserve">In legacy FR2, </w:t>
      </w:r>
      <w:r>
        <w:rPr>
          <w:rFonts w:hint="default" w:ascii="Times New Roman" w:hAnsi="Times New Roman" w:cs="Times New Roman"/>
          <w:i w:val="0"/>
          <w:iCs w:val="0"/>
          <w:color w:val="auto"/>
          <w:sz w:val="20"/>
          <w:szCs w:val="20"/>
        </w:rPr>
        <w:t>K</w:t>
      </w:r>
      <w:r>
        <w:rPr>
          <w:rFonts w:hint="default" w:ascii="Times New Roman" w:hAnsi="Times New Roman" w:cs="Times New Roman"/>
          <w:i w:val="0"/>
          <w:iCs w:val="0"/>
          <w:color w:val="auto"/>
          <w:sz w:val="20"/>
          <w:szCs w:val="20"/>
          <w:vertAlign w:val="subscript"/>
        </w:rPr>
        <w:t>layer1_measurement</w:t>
      </w:r>
      <w:r>
        <w:rPr>
          <w:rFonts w:hint="default" w:ascii="Times New Roman" w:hAnsi="Times New Roman" w:cs="Times New Roman"/>
          <w:i w:val="0"/>
          <w:iCs w:val="0"/>
          <w:color w:val="auto"/>
          <w:sz w:val="20"/>
          <w:szCs w:val="20"/>
          <w:lang w:eastAsia="ko-KR"/>
        </w:rPr>
        <w:t xml:space="preserve"> </w:t>
      </w:r>
      <w:r>
        <w:rPr>
          <w:rFonts w:hint="eastAsia" w:eastAsia="宋体" w:cs="Times New Roman"/>
          <w:i w:val="0"/>
          <w:iCs w:val="0"/>
          <w:color w:val="auto"/>
          <w:sz w:val="20"/>
          <w:szCs w:val="20"/>
          <w:lang w:val="en-US" w:eastAsia="zh-CN"/>
        </w:rPr>
        <w:t xml:space="preserve">=1 </w:t>
      </w:r>
      <w:r>
        <w:rPr>
          <w:rFonts w:hint="eastAsia" w:eastAsia="等线" w:cs="Times New Roman"/>
          <w:sz w:val="20"/>
          <w:szCs w:val="20"/>
          <w:lang w:val="en-US" w:eastAsia="zh-CN"/>
        </w:rPr>
        <w:t xml:space="preserve">when the L1-RSs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rFonts w:hint="eastAsia" w:eastAsia="等线" w:cs="Times New Roman"/>
          <w:i/>
          <w:iCs/>
          <w:sz w:val="20"/>
          <w:szCs w:val="20"/>
          <w:lang w:val="en-US" w:eastAsia="zh-CN"/>
        </w:rPr>
        <w:t>SSB-ToMeasure</w:t>
      </w:r>
      <w:r>
        <w:rPr>
          <w:rFonts w:hint="eastAsia" w:eastAsia="等线" w:cs="Times New Roman"/>
          <w:sz w:val="20"/>
          <w:szCs w:val="20"/>
          <w:lang w:val="en-US" w:eastAsia="zh-CN"/>
        </w:rPr>
        <w:t xml:space="preserve"> and </w:t>
      </w:r>
      <w:r>
        <w:rPr>
          <w:rFonts w:hint="eastAsia" w:eastAsia="等线" w:cs="Times New Roman"/>
          <w:i/>
          <w:iCs/>
          <w:sz w:val="20"/>
          <w:szCs w:val="20"/>
          <w:lang w:val="en-US" w:eastAsia="zh-CN"/>
        </w:rPr>
        <w:t>SS-RSSI-Measurement</w:t>
      </w:r>
      <w:r>
        <w:rPr>
          <w:rFonts w:hint="eastAsia" w:eastAsia="等线" w:cs="Times New Roman"/>
          <w:sz w:val="20"/>
          <w:szCs w:val="20"/>
          <w:lang w:val="en-US" w:eastAsia="zh-CN"/>
        </w:rPr>
        <w:t xml:space="preserve"> are configured. This was introduced from R15, and only FR2-1 SCS up to 240kHz was considered at that time.</w:t>
      </w:r>
    </w:p>
    <w:p w14:paraId="66E60B86">
      <w:pPr>
        <w:pageBreakBefore w:val="0"/>
        <w:widowControl/>
        <w:tabs>
          <w:tab w:val="left" w:pos="1134"/>
        </w:tabs>
        <w:kinsoku/>
        <w:wordWrap/>
        <w:topLinePunct w:val="0"/>
        <w:bidi w:val="0"/>
        <w:snapToGrid/>
        <w:spacing w:before="60" w:after="60"/>
        <w:jc w:val="both"/>
        <w:rPr>
          <w:rFonts w:hint="default" w:eastAsia="等线" w:cs="Times New Roman"/>
          <w:sz w:val="20"/>
          <w:szCs w:val="20"/>
          <w:lang w:val="en-US" w:eastAsia="zh-CN"/>
        </w:rPr>
      </w:pPr>
      <w:r>
        <w:rPr>
          <w:rFonts w:hint="eastAsia" w:eastAsia="等线" w:cs="Times New Roman"/>
          <w:sz w:val="20"/>
          <w:szCs w:val="20"/>
          <w:lang w:val="en-US" w:eastAsia="zh-CN"/>
        </w:rPr>
        <w:t xml:space="preserve">In our understanding, the location of SSB symbols and the RSSI symbols of intra-frequency neighbour cells are determined by serving cell timing and the configured </w:t>
      </w:r>
      <w:r>
        <w:rPr>
          <w:rFonts w:hint="default" w:eastAsia="等线" w:cs="Times New Roman"/>
          <w:i/>
          <w:iCs/>
          <w:sz w:val="20"/>
          <w:szCs w:val="20"/>
          <w:lang w:val="en-US" w:eastAsia="zh-CN"/>
        </w:rPr>
        <w:t>SSB-ToMeasure</w:t>
      </w:r>
      <w:r>
        <w:rPr>
          <w:rFonts w:hint="default" w:eastAsia="等线" w:cs="Times New Roman"/>
          <w:sz w:val="20"/>
          <w:szCs w:val="20"/>
          <w:lang w:val="en-US" w:eastAsia="zh-CN"/>
        </w:rPr>
        <w:t xml:space="preserve"> and </w:t>
      </w:r>
      <w:r>
        <w:rPr>
          <w:rFonts w:hint="default" w:eastAsia="等线" w:cs="Times New Roman"/>
          <w:i/>
          <w:iCs/>
          <w:sz w:val="20"/>
          <w:szCs w:val="20"/>
          <w:lang w:val="en-US" w:eastAsia="zh-CN"/>
        </w:rPr>
        <w:t>SS-RSSI-Measurement</w:t>
      </w:r>
      <w:r>
        <w:rPr>
          <w:rFonts w:hint="eastAsia" w:eastAsia="等线" w:cs="Times New Roman"/>
          <w:sz w:val="20"/>
          <w:szCs w:val="20"/>
          <w:lang w:val="en-US" w:eastAsia="zh-CN"/>
        </w:rPr>
        <w:t>. Thus, 1 symbol margin is considered including the maximum propagation delay difference and sync margin between serving cell and neighbour cells. However, such understanding shall be firstly aligned among RAN4 group.</w:t>
      </w:r>
    </w:p>
    <w:p w14:paraId="40DBBA63">
      <w:pPr>
        <w:pageBreakBefore w:val="0"/>
        <w:widowControl/>
        <w:tabs>
          <w:tab w:val="left" w:pos="1134"/>
        </w:tabs>
        <w:kinsoku/>
        <w:wordWrap/>
        <w:topLinePunct w:val="0"/>
        <w:bidi w:val="0"/>
        <w:snapToGrid/>
        <w:spacing w:before="60" w:after="60"/>
        <w:jc w:val="both"/>
        <w:rPr>
          <w:rFonts w:hint="eastAsia" w:eastAsia="宋体" w:cs="Times New Roman"/>
          <w:b/>
          <w:bCs/>
          <w:i/>
          <w:iCs/>
          <w:sz w:val="20"/>
          <w:szCs w:val="20"/>
          <w:lang w:val="en-US" w:eastAsia="zh-CN"/>
        </w:rPr>
      </w:pPr>
      <w:r>
        <w:rPr>
          <w:rFonts w:hint="eastAsia" w:eastAsia="等线" w:cs="Times New Roman"/>
          <w:b/>
          <w:bCs/>
          <w:i/>
          <w:iCs/>
          <w:sz w:val="20"/>
          <w:szCs w:val="20"/>
          <w:lang w:val="en-US" w:eastAsia="zh-CN"/>
        </w:rPr>
        <w:t xml:space="preserve">Proposal 6: Firstly align the understanding about the reference timing of SSB symbols and the RSSI symbols in the definition of </w:t>
      </w:r>
      <w:r>
        <w:rPr>
          <w:rFonts w:hint="default" w:ascii="Times New Roman" w:hAnsi="Times New Roman" w:cs="Times New Roman"/>
          <w:b/>
          <w:bCs/>
          <w:i/>
          <w:iCs/>
          <w:color w:val="auto"/>
          <w:sz w:val="20"/>
          <w:szCs w:val="20"/>
        </w:rPr>
        <w:t>K</w:t>
      </w:r>
      <w:r>
        <w:rPr>
          <w:rFonts w:hint="default" w:ascii="Times New Roman" w:hAnsi="Times New Roman" w:cs="Times New Roman"/>
          <w:b/>
          <w:bCs/>
          <w:i/>
          <w:iCs/>
          <w:color w:val="auto"/>
          <w:sz w:val="20"/>
          <w:szCs w:val="20"/>
          <w:vertAlign w:val="subscript"/>
        </w:rPr>
        <w:t>layer1_measurement</w:t>
      </w:r>
      <w:r>
        <w:rPr>
          <w:rFonts w:hint="eastAsia" w:eastAsia="宋体" w:cs="Times New Roman"/>
          <w:b/>
          <w:bCs/>
          <w:i/>
          <w:iCs/>
          <w:color w:val="auto"/>
          <w:sz w:val="20"/>
          <w:szCs w:val="20"/>
          <w:vertAlign w:val="baseline"/>
          <w:lang w:val="en-US" w:eastAsia="zh-CN"/>
        </w:rPr>
        <w:t>.</w:t>
      </w:r>
    </w:p>
    <w:p w14:paraId="5547697B">
      <w:pPr>
        <w:pageBreakBefore w:val="0"/>
        <w:widowControl/>
        <w:tabs>
          <w:tab w:val="left" w:pos="1134"/>
        </w:tabs>
        <w:kinsoku/>
        <w:wordWrap/>
        <w:topLinePunct w:val="0"/>
        <w:bidi w:val="0"/>
        <w:snapToGrid/>
        <w:spacing w:before="60" w:after="60"/>
        <w:jc w:val="both"/>
        <w:rPr>
          <w:rFonts w:hint="eastAsia" w:eastAsia="等线" w:cs="Times New Roman"/>
          <w:sz w:val="20"/>
          <w:szCs w:val="20"/>
          <w:lang w:val="en-US" w:eastAsia="zh-CN"/>
        </w:rPr>
      </w:pPr>
      <w:r>
        <w:rPr>
          <w:rFonts w:hint="eastAsia" w:eastAsia="等线" w:cs="Times New Roman"/>
          <w:sz w:val="20"/>
          <w:szCs w:val="20"/>
          <w:lang w:val="en-US" w:eastAsia="zh-CN"/>
        </w:rPr>
        <w:t>If serving cell timing is used as the reference timing, then this margin shall consider the maximum propagation delay difference and sync margin between serving cell and neighbour cells. For the ATG scenario, the maximum propagation delay difference is about 1ms if we consider 300km ISD.</w:t>
      </w:r>
    </w:p>
    <w:p w14:paraId="0CB44CB0">
      <w:pPr>
        <w:pageBreakBefore w:val="0"/>
        <w:widowControl/>
        <w:tabs>
          <w:tab w:val="left" w:pos="1134"/>
        </w:tabs>
        <w:kinsoku/>
        <w:wordWrap/>
        <w:topLinePunct w:val="0"/>
        <w:bidi w:val="0"/>
        <w:snapToGrid/>
        <w:spacing w:before="60" w:after="60"/>
        <w:jc w:val="both"/>
        <w:rPr>
          <w:rFonts w:hint="eastAsia" w:eastAsia="等线" w:cs="Times New Roman"/>
          <w:sz w:val="20"/>
          <w:szCs w:val="20"/>
          <w:lang w:val="en-US" w:eastAsia="zh-CN"/>
        </w:rPr>
      </w:pPr>
      <w:r>
        <w:rPr>
          <w:rFonts w:hint="eastAsia" w:eastAsia="等线" w:cs="Times New Roman"/>
          <w:sz w:val="20"/>
          <w:szCs w:val="20"/>
          <w:lang w:val="en-US" w:eastAsia="zh-CN"/>
        </w:rPr>
        <w:t>If neighbour cell timing is used as the reference timing, then 1 symbol margin is enough to cover sync margin between cells.</w:t>
      </w:r>
    </w:p>
    <w:p w14:paraId="15096426">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lang w:val="en-US" w:eastAsia="zh-CN"/>
        </w:rPr>
      </w:pPr>
      <w:r>
        <w:rPr>
          <w:rFonts w:hint="eastAsia" w:eastAsia="等线" w:cs="Times New Roman"/>
          <w:b/>
          <w:bCs/>
          <w:i/>
          <w:iCs/>
          <w:sz w:val="20"/>
          <w:szCs w:val="20"/>
          <w:lang w:val="en-US" w:eastAsia="zh-CN"/>
        </w:rPr>
        <w:t>Proposal 7: If the serving cell timing is used as the reference timing of SSB symbols and the RSSI symbols, then extend the margin considering the maximum propagation delay difference between serving cell and neighbour cells.</w:t>
      </w:r>
    </w:p>
    <w:p w14:paraId="5FC6EA84">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lang w:val="en-US" w:eastAsia="zh-CN"/>
        </w:rPr>
      </w:pPr>
      <w:r>
        <w:rPr>
          <w:rFonts w:hint="eastAsia" w:eastAsia="等线" w:cs="Times New Roman"/>
          <w:b/>
          <w:bCs/>
          <w:i/>
          <w:iCs/>
          <w:sz w:val="20"/>
          <w:szCs w:val="20"/>
          <w:lang w:val="en-US" w:eastAsia="zh-CN"/>
        </w:rPr>
        <w:t>Proposal 8: If the neighbour cell timing is used as the reference timing of SSB symbols and the RSSI symbols, then reuse the legacy 1 symbol margin.</w:t>
      </w:r>
    </w:p>
    <w:p w14:paraId="772DF10E">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eastAsia" w:eastAsia="Times New Roman"/>
          <w:b/>
          <w:i/>
          <w:iCs/>
          <w:sz w:val="20"/>
          <w:szCs w:val="20"/>
          <w:u w:val="single"/>
          <w:lang w:val="en-US" w:eastAsia="zh-CN"/>
        </w:rPr>
      </w:pPr>
    </w:p>
    <w:p w14:paraId="042D9C49">
      <w:pPr>
        <w:keepNext w:val="0"/>
        <w:keepLines w:val="0"/>
        <w:pageBreakBefore w:val="0"/>
        <w:widowControl/>
        <w:kinsoku/>
        <w:wordWrap/>
        <w:topLinePunct w:val="0"/>
        <w:bidi w:val="0"/>
        <w:spacing w:before="60" w:after="60"/>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eastAsia="ko-KR"/>
        </w:rPr>
        <w:t>Issue 1-</w:t>
      </w:r>
      <w:r>
        <w:rPr>
          <w:rFonts w:hint="default" w:ascii="Times New Roman" w:hAnsi="Times New Roman" w:cs="Times New Roman"/>
          <w:b/>
          <w:i/>
          <w:iCs/>
          <w:color w:val="auto"/>
          <w:sz w:val="20"/>
          <w:szCs w:val="20"/>
          <w:u w:val="single"/>
          <w:lang w:val="en-US" w:eastAsia="zh-CN"/>
        </w:rPr>
        <w:t>3-5</w:t>
      </w:r>
      <w:r>
        <w:rPr>
          <w:rFonts w:hint="default" w:ascii="Times New Roman" w:hAnsi="Times New Roman" w:cs="Times New Roman"/>
          <w:b/>
          <w:i/>
          <w:iCs/>
          <w:color w:val="auto"/>
          <w:sz w:val="20"/>
          <w:szCs w:val="20"/>
          <w:u w:val="single"/>
          <w:lang w:eastAsia="ko-KR"/>
        </w:rPr>
        <w:t>:</w:t>
      </w:r>
      <w:r>
        <w:rPr>
          <w:rFonts w:hint="default" w:ascii="Times New Roman" w:hAnsi="Times New Roman" w:cs="Times New Roman"/>
          <w:b/>
          <w:i/>
          <w:iCs/>
          <w:color w:val="auto"/>
          <w:sz w:val="20"/>
          <w:szCs w:val="20"/>
          <w:u w:val="single"/>
          <w:lang w:val="en-US" w:eastAsia="zh-CN"/>
        </w:rPr>
        <w:t xml:space="preserve"> Measurement enhancement for ATG UE with antenna array</w:t>
      </w:r>
    </w:p>
    <w:p w14:paraId="4BE4DD19">
      <w:pPr>
        <w:keepNext w:val="0"/>
        <w:keepLines w:val="0"/>
        <w:pageBreakBefore w:val="0"/>
        <w:widowControl/>
        <w:kinsoku/>
        <w:wordWrap/>
        <w:topLinePunct w:val="0"/>
        <w:bidi w:val="0"/>
        <w:snapToGrid w:val="0"/>
        <w:spacing w:before="60" w:after="60"/>
        <w:rPr>
          <w:rFonts w:hint="default" w:ascii="Times New Roman" w:hAnsi="Times New Roman" w:eastAsia="等线" w:cs="Times New Roman"/>
          <w:i/>
          <w:iCs/>
          <w:color w:val="auto"/>
          <w:sz w:val="20"/>
          <w:szCs w:val="20"/>
          <w:highlight w:val="yellow"/>
          <w:lang w:val="en-US" w:eastAsia="zh-CN"/>
        </w:rPr>
      </w:pPr>
      <w:r>
        <w:rPr>
          <w:rFonts w:hint="default" w:ascii="Times New Roman" w:hAnsi="Times New Roman" w:eastAsia="等线" w:cs="Times New Roman"/>
          <w:i/>
          <w:iCs/>
          <w:color w:val="auto"/>
          <w:sz w:val="20"/>
          <w:szCs w:val="20"/>
          <w:highlight w:val="yellow"/>
          <w:lang w:val="en-US" w:eastAsia="zh-CN"/>
        </w:rPr>
        <w:t>Candidate options:</w:t>
      </w:r>
    </w:p>
    <w:p w14:paraId="486FB3EA">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color w:val="auto"/>
          <w:sz w:val="20"/>
          <w:szCs w:val="20"/>
          <w:highlight w:val="none"/>
        </w:rPr>
      </w:pPr>
      <w:r>
        <w:rPr>
          <w:rFonts w:hint="default" w:ascii="Times New Roman" w:hAnsi="Times New Roman" w:eastAsia="宋体" w:cs="Times New Roman"/>
          <w:i/>
          <w:iCs/>
          <w:color w:val="auto"/>
          <w:sz w:val="20"/>
          <w:szCs w:val="20"/>
          <w:highlight w:val="none"/>
        </w:rPr>
        <w:t>UE could skip the neighbour cell measurement of {SCC and/or CC with deactivated SCell} by network control.</w:t>
      </w:r>
    </w:p>
    <w:p w14:paraId="440826E5">
      <w:pPr>
        <w:keepNext w:val="0"/>
        <w:keepLines w:val="0"/>
        <w:pageBreakBefore w:val="0"/>
        <w:widowControl/>
        <w:numPr>
          <w:ilvl w:val="1"/>
          <w:numId w:val="5"/>
        </w:numPr>
        <w:tabs>
          <w:tab w:val="left"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eastAsia="宋体" w:cs="Times New Roman"/>
          <w:i/>
          <w:iCs/>
          <w:color w:val="auto"/>
          <w:sz w:val="20"/>
          <w:szCs w:val="20"/>
          <w:highlight w:val="none"/>
        </w:rPr>
      </w:pPr>
      <w:r>
        <w:rPr>
          <w:rFonts w:hint="default" w:ascii="Times New Roman" w:hAnsi="Times New Roman" w:eastAsia="宋体" w:cs="Times New Roman"/>
          <w:i/>
          <w:iCs/>
          <w:color w:val="auto"/>
          <w:sz w:val="20"/>
          <w:szCs w:val="20"/>
          <w:highlight w:val="none"/>
        </w:rPr>
        <w:t>Option 1: this can already be achieved by the existing configuration.</w:t>
      </w:r>
    </w:p>
    <w:p w14:paraId="5209957C">
      <w:pPr>
        <w:keepNext w:val="0"/>
        <w:keepLines w:val="0"/>
        <w:pageBreakBefore w:val="0"/>
        <w:widowControl/>
        <w:numPr>
          <w:ilvl w:val="1"/>
          <w:numId w:val="5"/>
        </w:numPr>
        <w:tabs>
          <w:tab w:val="left"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eastAsia="宋体" w:cs="Times New Roman"/>
          <w:i/>
          <w:iCs/>
          <w:color w:val="auto"/>
          <w:sz w:val="20"/>
          <w:szCs w:val="20"/>
          <w:highlight w:val="none"/>
        </w:rPr>
      </w:pPr>
      <w:r>
        <w:rPr>
          <w:rFonts w:hint="default" w:ascii="Times New Roman" w:hAnsi="Times New Roman" w:eastAsia="宋体" w:cs="Times New Roman"/>
          <w:i/>
          <w:iCs/>
          <w:color w:val="auto"/>
          <w:sz w:val="20"/>
          <w:szCs w:val="20"/>
          <w:highlight w:val="none"/>
        </w:rPr>
        <w:t>Option 2: Consider enhancement for Rel-19 ATG CA</w:t>
      </w:r>
    </w:p>
    <w:p w14:paraId="2AA2C806">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sz w:val="20"/>
          <w:szCs w:val="20"/>
          <w:lang w:val="en-US" w:eastAsia="zh-CN"/>
        </w:rPr>
      </w:pPr>
      <w:r>
        <w:rPr>
          <w:rFonts w:hint="eastAsia" w:eastAsia="等线"/>
          <w:sz w:val="20"/>
          <w:szCs w:val="20"/>
          <w:lang w:val="en-US" w:eastAsia="zh-CN"/>
        </w:rPr>
        <w:t>In last meeting, we listed several cases that the neighbour cell measurement on SCC and/or CC with deactivated SCell can be skipped.</w:t>
      </w:r>
    </w:p>
    <w:p w14:paraId="2D01AE04">
      <w:pPr>
        <w:keepNext w:val="0"/>
        <w:keepLines w:val="0"/>
        <w:pageBreakBefore w:val="0"/>
        <w:widowControl/>
        <w:numPr>
          <w:ilvl w:val="0"/>
          <w:numId w:val="6"/>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Case 1: Network could derive the coarse neighbour cell</w:t>
      </w:r>
      <w:r>
        <w:rPr>
          <w:rFonts w:hint="default" w:ascii="Times New Roman" w:hAnsi="Times New Roman" w:eastAsia="等线" w:cs="Times New Roman"/>
          <w:sz w:val="20"/>
          <w:szCs w:val="20"/>
          <w:lang w:val="en-US" w:eastAsia="zh-CN"/>
        </w:rPr>
        <w:t>’</w:t>
      </w:r>
      <w:r>
        <w:rPr>
          <w:rFonts w:hint="eastAsia" w:ascii="Times New Roman" w:hAnsi="Times New Roman" w:eastAsia="等线" w:cs="Times New Roman"/>
          <w:sz w:val="20"/>
          <w:szCs w:val="20"/>
          <w:lang w:val="en-US" w:eastAsia="zh-CN"/>
        </w:rPr>
        <w:t>s quality on the carrier frequency of SCC by neighbour cell</w:t>
      </w:r>
      <w:r>
        <w:rPr>
          <w:rFonts w:hint="default" w:ascii="Times New Roman" w:hAnsi="Times New Roman" w:eastAsia="等线" w:cs="Times New Roman"/>
          <w:sz w:val="20"/>
          <w:szCs w:val="20"/>
          <w:lang w:val="en-US" w:eastAsia="zh-CN"/>
        </w:rPr>
        <w:t>’</w:t>
      </w:r>
      <w:r>
        <w:rPr>
          <w:rFonts w:hint="eastAsia" w:ascii="Times New Roman" w:hAnsi="Times New Roman" w:eastAsia="等线" w:cs="Times New Roman"/>
          <w:sz w:val="20"/>
          <w:szCs w:val="20"/>
          <w:lang w:val="en-US" w:eastAsia="zh-CN"/>
        </w:rPr>
        <w:t>s quality on the carrier frequency of PCC.</w:t>
      </w:r>
    </w:p>
    <w:p w14:paraId="02FB6F0A">
      <w:pPr>
        <w:keepNext w:val="0"/>
        <w:keepLines w:val="0"/>
        <w:pageBreakBefore w:val="0"/>
        <w:widowControl/>
        <w:numPr>
          <w:ilvl w:val="0"/>
          <w:numId w:val="6"/>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Case 2: Neighbour cells has not deployed the SCC which carrier frequency are same with the serving SCC.</w:t>
      </w:r>
    </w:p>
    <w:p w14:paraId="16706ED2">
      <w:pPr>
        <w:keepNext w:val="0"/>
        <w:keepLines w:val="0"/>
        <w:pageBreakBefore w:val="0"/>
        <w:widowControl/>
        <w:numPr>
          <w:ilvl w:val="0"/>
          <w:numId w:val="6"/>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Case 3: UE is in the cell center area</w:t>
      </w:r>
    </w:p>
    <w:p w14:paraId="1B25C804">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sz w:val="20"/>
          <w:szCs w:val="20"/>
          <w:lang w:val="en-US" w:eastAsia="zh-CN"/>
        </w:rPr>
      </w:pPr>
      <w:r>
        <w:rPr>
          <w:rFonts w:hint="eastAsia" w:eastAsia="等线"/>
          <w:sz w:val="20"/>
          <w:szCs w:val="20"/>
          <w:lang w:val="en-US" w:eastAsia="zh-CN"/>
        </w:rPr>
        <w:t>We also analyzed the benefit of such neighbour cell measurement skipping, mainly about the throughput gain, due to following:</w:t>
      </w:r>
    </w:p>
    <w:p w14:paraId="334A240F">
      <w:pPr>
        <w:keepNext w:val="0"/>
        <w:keepLines w:val="0"/>
        <w:pageBreakBefore w:val="0"/>
        <w:widowControl/>
        <w:numPr>
          <w:ilvl w:val="0"/>
          <w:numId w:val="6"/>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Before SCell activation, when UE performs the neighbour cell measurement on CC with deactivated SCell, the scheduling restriction cased by antenna array will apply to PCell for Case#4 UE, throughput loss will be caused.</w:t>
      </w:r>
    </w:p>
    <w:p w14:paraId="75DD48F0">
      <w:pPr>
        <w:keepNext w:val="0"/>
        <w:keepLines w:val="0"/>
        <w:pageBreakBefore w:val="0"/>
        <w:widowControl/>
        <w:numPr>
          <w:ilvl w:val="0"/>
          <w:numId w:val="6"/>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default" w:eastAsia="等线"/>
          <w:sz w:val="20"/>
          <w:szCs w:val="20"/>
          <w:lang w:val="en-US" w:eastAsia="zh-CN"/>
        </w:rPr>
      </w:pPr>
      <w:r>
        <w:rPr>
          <w:rFonts w:hint="eastAsia" w:ascii="Times New Roman" w:hAnsi="Times New Roman" w:eastAsia="等线" w:cs="Times New Roman"/>
          <w:sz w:val="20"/>
          <w:szCs w:val="20"/>
          <w:lang w:val="en-US" w:eastAsia="zh-CN"/>
        </w:rPr>
        <w:t>After SCell activation, when UE performs the neighbour cell measurement on SCC (intra-frequency measurement), the scheduling restriction cased by antenna array will apply to SCell for UE with antenna array on SCC (Case#2, Case#4 and Case#5), and additional scheduling restriction will apply to PCell for Case#4 UE, throughput loss will be caused.</w:t>
      </w:r>
    </w:p>
    <w:p w14:paraId="0F8DEEBF">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sz w:val="20"/>
          <w:szCs w:val="20"/>
          <w:lang w:val="en-US" w:eastAsia="zh-CN"/>
        </w:rPr>
      </w:pPr>
      <w:r>
        <w:rPr>
          <w:rFonts w:hint="eastAsia" w:eastAsia="等线"/>
          <w:sz w:val="20"/>
          <w:szCs w:val="20"/>
          <w:lang w:val="en-US" w:eastAsia="zh-CN"/>
        </w:rPr>
        <w:t xml:space="preserve">In existing specification, the only method to control neighbour cell measurement is to configure </w:t>
      </w:r>
      <w:r>
        <w:rPr>
          <w:rFonts w:hint="eastAsia" w:eastAsia="等线"/>
          <w:i/>
          <w:iCs/>
          <w:sz w:val="20"/>
          <w:szCs w:val="20"/>
          <w:lang w:val="en-US" w:eastAsia="zh-CN"/>
        </w:rPr>
        <w:t>s-MeasureConfig</w:t>
      </w:r>
      <w:r>
        <w:rPr>
          <w:rFonts w:hint="eastAsia" w:eastAsia="等线"/>
          <w:sz w:val="20"/>
          <w:szCs w:val="20"/>
          <w:lang w:val="en-US" w:eastAsia="zh-CN"/>
        </w:rPr>
        <w:t xml:space="preserve">, which is the threshold for NR SpCell RSRP measurement controlling when the UE is required to perform measurements on non-serving cells. However, this methodology applies for all carrier frequencies of configured  MO.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2"/>
      </w:tblGrid>
      <w:tr w14:paraId="33D18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2" w:type="dxa"/>
          </w:tcPr>
          <w:p w14:paraId="3AA12F0B">
            <w:pPr>
              <w:overflowPunct w:val="0"/>
              <w:autoSpaceDE w:val="0"/>
              <w:autoSpaceDN w:val="0"/>
              <w:adjustRightInd w:val="0"/>
              <w:spacing w:after="180"/>
              <w:ind w:left="851" w:hanging="284"/>
              <w:textAlignment w:val="baseline"/>
              <w:rPr>
                <w:rFonts w:ascii="Times New Roman" w:hAnsi="Times New Roman" w:eastAsia="Times New Roman" w:cs="Times New Roman"/>
                <w:sz w:val="20"/>
                <w:szCs w:val="20"/>
                <w:lang w:val="en-GB" w:eastAsia="ja-JP" w:bidi="ar-SA"/>
              </w:rPr>
            </w:pPr>
            <w:r>
              <w:rPr>
                <w:rFonts w:ascii="Times New Roman" w:hAnsi="Times New Roman" w:eastAsia="Times New Roman" w:cs="Times New Roman"/>
                <w:sz w:val="20"/>
                <w:szCs w:val="20"/>
                <w:lang w:val="en-GB" w:eastAsia="ja-JP" w:bidi="ar-SA"/>
              </w:rPr>
              <w:t>2&gt;</w:t>
            </w:r>
            <w:r>
              <w:rPr>
                <w:rFonts w:ascii="Times New Roman" w:hAnsi="Times New Roman" w:eastAsia="Times New Roman" w:cs="Times New Roman"/>
                <w:sz w:val="20"/>
                <w:szCs w:val="20"/>
                <w:lang w:val="en-GB" w:eastAsia="ja-JP" w:bidi="ar-SA"/>
              </w:rPr>
              <w:tab/>
            </w:r>
            <w:r>
              <w:rPr>
                <w:rFonts w:ascii="Times New Roman" w:hAnsi="Times New Roman" w:eastAsia="Times New Roman" w:cs="Times New Roman"/>
                <w:sz w:val="20"/>
                <w:szCs w:val="20"/>
                <w:lang w:val="en-GB" w:eastAsia="ja-JP" w:bidi="ar-SA"/>
              </w:rPr>
              <w:t xml:space="preserve">if the </w:t>
            </w:r>
            <w:r>
              <w:rPr>
                <w:rFonts w:ascii="Times New Roman" w:hAnsi="Times New Roman" w:eastAsia="Times New Roman" w:cs="Times New Roman"/>
                <w:i/>
                <w:sz w:val="20"/>
                <w:szCs w:val="20"/>
                <w:lang w:val="en-GB" w:eastAsia="ja-JP" w:bidi="ar-SA"/>
              </w:rPr>
              <w:t>reportType</w:t>
            </w:r>
            <w:r>
              <w:rPr>
                <w:rFonts w:ascii="Times New Roman" w:hAnsi="Times New Roman" w:eastAsia="Times New Roman" w:cs="Times New Roman"/>
                <w:sz w:val="20"/>
                <w:szCs w:val="20"/>
                <w:lang w:val="en-GB" w:eastAsia="ja-JP" w:bidi="ar-SA"/>
              </w:rPr>
              <w:t xml:space="preserve"> for the associated </w:t>
            </w:r>
            <w:r>
              <w:rPr>
                <w:rFonts w:ascii="Times New Roman" w:hAnsi="Times New Roman" w:eastAsia="Times New Roman" w:cs="Times New Roman"/>
                <w:i/>
                <w:sz w:val="20"/>
                <w:szCs w:val="20"/>
                <w:lang w:val="en-GB" w:eastAsia="ja-JP" w:bidi="ar-SA"/>
              </w:rPr>
              <w:t>reportConfig</w:t>
            </w:r>
            <w:r>
              <w:rPr>
                <w:rFonts w:ascii="Times New Roman" w:hAnsi="Times New Roman" w:eastAsia="Times New Roman" w:cs="Times New Roman"/>
                <w:sz w:val="20"/>
                <w:szCs w:val="20"/>
                <w:lang w:val="en-GB" w:eastAsia="ja-JP" w:bidi="ar-SA"/>
              </w:rPr>
              <w:t xml:space="preserve"> is </w:t>
            </w:r>
            <w:r>
              <w:rPr>
                <w:rFonts w:ascii="Times New Roman" w:hAnsi="Times New Roman" w:eastAsia="Times New Roman" w:cs="Times New Roman"/>
                <w:i/>
                <w:sz w:val="20"/>
                <w:szCs w:val="20"/>
                <w:lang w:val="en-GB" w:eastAsia="ja-JP" w:bidi="ar-SA"/>
              </w:rPr>
              <w:t>periodical</w:t>
            </w:r>
            <w:r>
              <w:rPr>
                <w:rFonts w:ascii="Times New Roman" w:hAnsi="Times New Roman" w:eastAsia="Times New Roman" w:cs="Times New Roman"/>
                <w:iCs/>
                <w:sz w:val="20"/>
                <w:szCs w:val="20"/>
                <w:lang w:val="en-GB" w:eastAsia="ja-JP" w:bidi="ar-SA"/>
              </w:rPr>
              <w:t>,</w:t>
            </w:r>
            <w:r>
              <w:rPr>
                <w:rFonts w:ascii="Times New Roman" w:hAnsi="Times New Roman" w:eastAsia="Times New Roman" w:cs="Times New Roman"/>
                <w:sz w:val="20"/>
                <w:szCs w:val="20"/>
                <w:lang w:val="en-GB" w:eastAsia="ja-JP" w:bidi="ar-SA"/>
              </w:rPr>
              <w:t xml:space="preserve"> </w:t>
            </w:r>
            <w:r>
              <w:rPr>
                <w:rFonts w:ascii="Times New Roman" w:hAnsi="Times New Roman" w:eastAsia="Times New Roman" w:cs="Times New Roman"/>
                <w:i/>
                <w:sz w:val="20"/>
                <w:szCs w:val="20"/>
                <w:lang w:val="en-GB" w:eastAsia="ja-JP" w:bidi="ar-SA"/>
              </w:rPr>
              <w:t>eventTriggered</w:t>
            </w:r>
            <w:r>
              <w:rPr>
                <w:rFonts w:ascii="Times New Roman" w:hAnsi="Times New Roman" w:eastAsia="Times New Roman" w:cs="Times New Roman"/>
                <w:iCs/>
                <w:sz w:val="20"/>
                <w:szCs w:val="20"/>
                <w:lang w:val="en-GB" w:eastAsia="ja-JP" w:bidi="ar-SA"/>
              </w:rPr>
              <w:t>;</w:t>
            </w:r>
            <w:r>
              <w:rPr>
                <w:rFonts w:ascii="Times New Roman" w:hAnsi="Times New Roman" w:eastAsia="Times New Roman" w:cs="Times New Roman"/>
                <w:sz w:val="20"/>
                <w:szCs w:val="20"/>
                <w:lang w:val="en-GB" w:eastAsia="ja-JP" w:bidi="ar-SA"/>
              </w:rPr>
              <w:t xml:space="preserve"> or</w:t>
            </w:r>
          </w:p>
          <w:p w14:paraId="154DE666">
            <w:pPr>
              <w:overflowPunct w:val="0"/>
              <w:autoSpaceDE w:val="0"/>
              <w:autoSpaceDN w:val="0"/>
              <w:adjustRightInd w:val="0"/>
              <w:spacing w:after="180"/>
              <w:ind w:left="1135" w:hanging="284"/>
              <w:textAlignment w:val="baseline"/>
              <w:rPr>
                <w:rFonts w:ascii="Times New Roman" w:hAnsi="Times New Roman" w:eastAsia="Times New Roman" w:cs="Times New Roman"/>
                <w:sz w:val="20"/>
                <w:szCs w:val="20"/>
                <w:lang w:val="en-GB" w:eastAsia="ja-JP" w:bidi="ar-SA"/>
              </w:rPr>
            </w:pPr>
            <w:r>
              <w:rPr>
                <w:rFonts w:ascii="Times New Roman" w:hAnsi="Times New Roman" w:eastAsia="Times New Roman" w:cs="Times New Roman"/>
                <w:sz w:val="20"/>
                <w:szCs w:val="20"/>
                <w:lang w:val="en-GB" w:eastAsia="ja-JP" w:bidi="ar-SA"/>
              </w:rPr>
              <w:t>3&gt;</w:t>
            </w:r>
            <w:r>
              <w:rPr>
                <w:rFonts w:ascii="Times New Roman" w:hAnsi="Times New Roman" w:eastAsia="Times New Roman" w:cs="Times New Roman"/>
                <w:sz w:val="20"/>
                <w:szCs w:val="20"/>
                <w:lang w:val="en-GB" w:eastAsia="ja-JP" w:bidi="ar-SA"/>
              </w:rPr>
              <w:tab/>
            </w:r>
            <w:r>
              <w:rPr>
                <w:rFonts w:ascii="Times New Roman" w:hAnsi="Times New Roman" w:eastAsia="Times New Roman" w:cs="Times New Roman"/>
                <w:sz w:val="20"/>
                <w:szCs w:val="20"/>
                <w:lang w:val="en-GB" w:eastAsia="ja-JP" w:bidi="ar-SA"/>
              </w:rPr>
              <w:t>if a measurement gap configuration is setup, or</w:t>
            </w:r>
          </w:p>
          <w:p w14:paraId="0666315E">
            <w:pPr>
              <w:overflowPunct w:val="0"/>
              <w:autoSpaceDE w:val="0"/>
              <w:autoSpaceDN w:val="0"/>
              <w:adjustRightInd w:val="0"/>
              <w:spacing w:after="180"/>
              <w:ind w:left="1135" w:hanging="284"/>
              <w:textAlignment w:val="baseline"/>
              <w:rPr>
                <w:rFonts w:ascii="Times New Roman" w:hAnsi="Times New Roman" w:eastAsia="Times New Roman" w:cs="Times New Roman"/>
                <w:sz w:val="20"/>
                <w:szCs w:val="20"/>
                <w:lang w:val="en-GB" w:eastAsia="ja-JP" w:bidi="ar-SA"/>
              </w:rPr>
            </w:pPr>
            <w:r>
              <w:rPr>
                <w:rFonts w:ascii="Times New Roman" w:hAnsi="Times New Roman" w:eastAsia="Times New Roman" w:cs="Times New Roman"/>
                <w:sz w:val="20"/>
                <w:szCs w:val="20"/>
                <w:lang w:val="en-GB" w:eastAsia="ja-JP" w:bidi="ar-SA"/>
              </w:rPr>
              <w:t>3&gt;</w:t>
            </w:r>
            <w:r>
              <w:rPr>
                <w:rFonts w:ascii="Times New Roman" w:hAnsi="Times New Roman" w:eastAsia="Times New Roman" w:cs="Times New Roman"/>
                <w:sz w:val="20"/>
                <w:szCs w:val="20"/>
                <w:lang w:val="en-GB" w:eastAsia="ja-JP" w:bidi="ar-SA"/>
              </w:rPr>
              <w:tab/>
            </w:r>
            <w:r>
              <w:rPr>
                <w:rFonts w:ascii="Times New Roman" w:hAnsi="Times New Roman" w:eastAsia="Times New Roman" w:cs="Times New Roman"/>
                <w:sz w:val="20"/>
                <w:szCs w:val="20"/>
                <w:lang w:val="en-GB" w:eastAsia="ja-JP" w:bidi="ar-SA"/>
              </w:rPr>
              <w:t>if the UE does not require measurement gaps to perform the concerned measurements:</w:t>
            </w:r>
          </w:p>
          <w:p w14:paraId="0580D1A2">
            <w:pPr>
              <w:overflowPunct w:val="0"/>
              <w:autoSpaceDE w:val="0"/>
              <w:autoSpaceDN w:val="0"/>
              <w:adjustRightInd w:val="0"/>
              <w:spacing w:after="180"/>
              <w:ind w:left="1418" w:hanging="284"/>
              <w:textAlignment w:val="baseline"/>
              <w:rPr>
                <w:rFonts w:ascii="Times New Roman" w:hAnsi="Times New Roman" w:eastAsia="Times New Roman" w:cs="Times New Roman"/>
                <w:sz w:val="20"/>
                <w:szCs w:val="20"/>
                <w:lang w:val="en-GB" w:eastAsia="ja-JP" w:bidi="ar-SA"/>
              </w:rPr>
            </w:pPr>
            <w:r>
              <w:rPr>
                <w:rFonts w:ascii="Times New Roman" w:hAnsi="Times New Roman" w:eastAsia="Times New Roman" w:cs="Times New Roman"/>
                <w:sz w:val="20"/>
                <w:szCs w:val="20"/>
                <w:lang w:val="en-GB" w:eastAsia="ja-JP" w:bidi="ar-SA"/>
              </w:rPr>
              <w:t>4&gt;</w:t>
            </w:r>
            <w:r>
              <w:rPr>
                <w:rFonts w:ascii="Times New Roman" w:hAnsi="Times New Roman" w:eastAsia="Times New Roman" w:cs="Times New Roman"/>
                <w:sz w:val="20"/>
                <w:szCs w:val="20"/>
                <w:lang w:val="en-GB" w:eastAsia="ja-JP" w:bidi="ar-SA"/>
              </w:rPr>
              <w:tab/>
            </w:r>
            <w:r>
              <w:rPr>
                <w:rFonts w:ascii="Times New Roman" w:hAnsi="Times New Roman" w:eastAsia="Times New Roman" w:cs="Times New Roman"/>
                <w:sz w:val="20"/>
                <w:szCs w:val="20"/>
                <w:lang w:val="en-GB" w:eastAsia="ja-JP" w:bidi="ar-SA"/>
              </w:rPr>
              <w:t xml:space="preserve">if </w:t>
            </w:r>
            <w:r>
              <w:rPr>
                <w:rFonts w:ascii="Times New Roman" w:hAnsi="Times New Roman" w:eastAsia="Times New Roman" w:cs="Times New Roman"/>
                <w:i/>
                <w:sz w:val="20"/>
                <w:szCs w:val="20"/>
                <w:lang w:val="en-GB" w:eastAsia="ja-JP" w:bidi="ar-SA"/>
              </w:rPr>
              <w:t>s-MeasureConfig</w:t>
            </w:r>
            <w:r>
              <w:rPr>
                <w:rFonts w:ascii="Times New Roman" w:hAnsi="Times New Roman" w:eastAsia="Times New Roman" w:cs="Times New Roman"/>
                <w:sz w:val="20"/>
                <w:szCs w:val="20"/>
                <w:lang w:val="en-GB" w:eastAsia="ja-JP" w:bidi="ar-SA"/>
              </w:rPr>
              <w:t xml:space="preserve"> is not configured, or</w:t>
            </w:r>
          </w:p>
          <w:p w14:paraId="4AD72250">
            <w:pPr>
              <w:overflowPunct w:val="0"/>
              <w:autoSpaceDE w:val="0"/>
              <w:autoSpaceDN w:val="0"/>
              <w:adjustRightInd w:val="0"/>
              <w:spacing w:after="180"/>
              <w:ind w:left="1418" w:hanging="284"/>
              <w:textAlignment w:val="baseline"/>
              <w:rPr>
                <w:rFonts w:ascii="Times New Roman" w:hAnsi="Times New Roman" w:eastAsia="Times New Roman" w:cs="Times New Roman"/>
                <w:sz w:val="20"/>
                <w:szCs w:val="20"/>
                <w:lang w:val="en-GB" w:eastAsia="ja-JP" w:bidi="ar-SA"/>
              </w:rPr>
            </w:pPr>
            <w:r>
              <w:rPr>
                <w:rFonts w:ascii="Times New Roman" w:hAnsi="Times New Roman" w:eastAsia="Times New Roman" w:cs="Times New Roman"/>
                <w:sz w:val="20"/>
                <w:szCs w:val="20"/>
                <w:lang w:val="en-GB" w:eastAsia="ja-JP" w:bidi="ar-SA"/>
              </w:rPr>
              <w:t>4&gt;</w:t>
            </w:r>
            <w:r>
              <w:rPr>
                <w:rFonts w:ascii="Times New Roman" w:hAnsi="Times New Roman" w:eastAsia="Times New Roman" w:cs="Times New Roman"/>
                <w:sz w:val="20"/>
                <w:szCs w:val="20"/>
                <w:lang w:val="en-GB" w:eastAsia="ja-JP" w:bidi="ar-SA"/>
              </w:rPr>
              <w:tab/>
            </w:r>
            <w:r>
              <w:rPr>
                <w:rFonts w:ascii="Times New Roman" w:hAnsi="Times New Roman" w:eastAsia="Times New Roman" w:cs="Times New Roman"/>
                <w:sz w:val="20"/>
                <w:szCs w:val="20"/>
                <w:lang w:val="en-GB" w:eastAsia="ja-JP" w:bidi="ar-SA"/>
              </w:rPr>
              <w:t xml:space="preserve">if </w:t>
            </w:r>
            <w:r>
              <w:rPr>
                <w:rFonts w:ascii="Times New Roman" w:hAnsi="Times New Roman" w:eastAsia="Times New Roman" w:cs="Times New Roman"/>
                <w:i/>
                <w:sz w:val="20"/>
                <w:szCs w:val="20"/>
                <w:lang w:val="en-GB" w:eastAsia="ja-JP" w:bidi="ar-SA"/>
              </w:rPr>
              <w:t>s-MeasureConfig</w:t>
            </w:r>
            <w:r>
              <w:rPr>
                <w:rFonts w:ascii="Times New Roman" w:hAnsi="Times New Roman" w:eastAsia="Times New Roman" w:cs="Times New Roman"/>
                <w:sz w:val="20"/>
                <w:szCs w:val="20"/>
                <w:lang w:val="en-GB" w:eastAsia="ja-JP" w:bidi="ar-SA"/>
              </w:rPr>
              <w:t xml:space="preserve"> is set to </w:t>
            </w:r>
            <w:r>
              <w:rPr>
                <w:rFonts w:ascii="Times New Roman" w:hAnsi="Times New Roman" w:eastAsia="Times New Roman" w:cs="Times New Roman"/>
                <w:i/>
                <w:sz w:val="20"/>
                <w:szCs w:val="20"/>
                <w:lang w:val="en-GB" w:eastAsia="ja-JP" w:bidi="ar-SA"/>
              </w:rPr>
              <w:t xml:space="preserve">ssb-RSRP </w:t>
            </w:r>
            <w:r>
              <w:rPr>
                <w:rFonts w:ascii="Times New Roman" w:hAnsi="Times New Roman" w:eastAsia="Times New Roman" w:cs="Times New Roman"/>
                <w:sz w:val="20"/>
                <w:szCs w:val="20"/>
                <w:lang w:val="en-GB" w:eastAsia="ja-JP" w:bidi="ar-SA"/>
              </w:rPr>
              <w:t xml:space="preserve">and the NR SpCell RSRP based on SS/PBCH block, after layer 3 filtering, is lower than </w:t>
            </w:r>
            <w:r>
              <w:rPr>
                <w:rFonts w:ascii="Times New Roman" w:hAnsi="Times New Roman" w:eastAsia="Times New Roman" w:cs="Times New Roman"/>
                <w:i/>
                <w:sz w:val="20"/>
                <w:szCs w:val="20"/>
                <w:lang w:val="en-GB" w:eastAsia="ja-JP" w:bidi="ar-SA"/>
              </w:rPr>
              <w:t xml:space="preserve">ssb-RSRP, </w:t>
            </w:r>
            <w:r>
              <w:rPr>
                <w:rFonts w:ascii="Times New Roman" w:hAnsi="Times New Roman" w:eastAsia="Times New Roman" w:cs="Times New Roman"/>
                <w:sz w:val="20"/>
                <w:szCs w:val="20"/>
                <w:lang w:val="en-GB" w:eastAsia="ja-JP" w:bidi="ar-SA"/>
              </w:rPr>
              <w:t>or</w:t>
            </w:r>
          </w:p>
          <w:p w14:paraId="6DCA617E">
            <w:pPr>
              <w:overflowPunct w:val="0"/>
              <w:autoSpaceDE w:val="0"/>
              <w:autoSpaceDN w:val="0"/>
              <w:adjustRightInd w:val="0"/>
              <w:spacing w:after="180"/>
              <w:ind w:left="1418" w:hanging="284"/>
              <w:textAlignment w:val="baseline"/>
              <w:rPr>
                <w:rFonts w:ascii="Times New Roman" w:hAnsi="Times New Roman" w:eastAsia="Times New Roman" w:cs="Times New Roman"/>
                <w:sz w:val="20"/>
                <w:szCs w:val="20"/>
                <w:lang w:val="en-GB" w:eastAsia="ja-JP" w:bidi="ar-SA"/>
              </w:rPr>
            </w:pPr>
            <w:r>
              <w:rPr>
                <w:rFonts w:ascii="Times New Roman" w:hAnsi="Times New Roman" w:eastAsia="Times New Roman" w:cs="Times New Roman"/>
                <w:sz w:val="20"/>
                <w:szCs w:val="20"/>
                <w:lang w:val="en-GB" w:eastAsia="ja-JP" w:bidi="ar-SA"/>
              </w:rPr>
              <w:t>4&gt;</w:t>
            </w:r>
            <w:r>
              <w:rPr>
                <w:rFonts w:ascii="Times New Roman" w:hAnsi="Times New Roman" w:eastAsia="Times New Roman" w:cs="Times New Roman"/>
                <w:sz w:val="20"/>
                <w:szCs w:val="20"/>
                <w:lang w:val="en-GB" w:eastAsia="ja-JP" w:bidi="ar-SA"/>
              </w:rPr>
              <w:tab/>
            </w:r>
            <w:r>
              <w:rPr>
                <w:rFonts w:ascii="Times New Roman" w:hAnsi="Times New Roman" w:eastAsia="Times New Roman" w:cs="Times New Roman"/>
                <w:sz w:val="20"/>
                <w:szCs w:val="20"/>
                <w:lang w:val="en-GB" w:eastAsia="ja-JP" w:bidi="ar-SA"/>
              </w:rPr>
              <w:t xml:space="preserve">if </w:t>
            </w:r>
            <w:r>
              <w:rPr>
                <w:rFonts w:ascii="Times New Roman" w:hAnsi="Times New Roman" w:eastAsia="Times New Roman" w:cs="Times New Roman"/>
                <w:i/>
                <w:sz w:val="20"/>
                <w:szCs w:val="20"/>
                <w:lang w:val="en-GB" w:eastAsia="ja-JP" w:bidi="ar-SA"/>
              </w:rPr>
              <w:t xml:space="preserve">s-MeasureConfig </w:t>
            </w:r>
            <w:r>
              <w:rPr>
                <w:rFonts w:ascii="Times New Roman" w:hAnsi="Times New Roman" w:eastAsia="Times New Roman" w:cs="Times New Roman"/>
                <w:sz w:val="20"/>
                <w:szCs w:val="20"/>
                <w:lang w:val="en-GB" w:eastAsia="ja-JP" w:bidi="ar-SA"/>
              </w:rPr>
              <w:t xml:space="preserve">is set to </w:t>
            </w:r>
            <w:r>
              <w:rPr>
                <w:rFonts w:ascii="Times New Roman" w:hAnsi="Times New Roman" w:eastAsia="Times New Roman" w:cs="Times New Roman"/>
                <w:i/>
                <w:sz w:val="20"/>
                <w:szCs w:val="20"/>
                <w:lang w:val="en-GB" w:eastAsia="ja-JP" w:bidi="ar-SA"/>
              </w:rPr>
              <w:t xml:space="preserve">csi-RSRP </w:t>
            </w:r>
            <w:r>
              <w:rPr>
                <w:rFonts w:ascii="Times New Roman" w:hAnsi="Times New Roman" w:eastAsia="Times New Roman" w:cs="Times New Roman"/>
                <w:sz w:val="20"/>
                <w:szCs w:val="20"/>
                <w:lang w:val="en-GB" w:eastAsia="ja-JP" w:bidi="ar-SA"/>
              </w:rPr>
              <w:t xml:space="preserve">and the NR SpCell RSRP based on CSI-RS, after layer 3 filtering, is lower than </w:t>
            </w:r>
            <w:r>
              <w:rPr>
                <w:rFonts w:ascii="Times New Roman" w:hAnsi="Times New Roman" w:eastAsia="Times New Roman" w:cs="Times New Roman"/>
                <w:i/>
                <w:sz w:val="20"/>
                <w:szCs w:val="20"/>
                <w:lang w:val="en-GB" w:eastAsia="ja-JP" w:bidi="ar-SA"/>
              </w:rPr>
              <w:t>csi-RSRP</w:t>
            </w:r>
            <w:r>
              <w:rPr>
                <w:rFonts w:ascii="Times New Roman" w:hAnsi="Times New Roman" w:eastAsia="Times New Roman" w:cs="Times New Roman"/>
                <w:sz w:val="20"/>
                <w:szCs w:val="20"/>
                <w:lang w:val="en-GB" w:eastAsia="ja-JP" w:bidi="ar-SA"/>
              </w:rPr>
              <w:t>:</w:t>
            </w:r>
          </w:p>
          <w:p w14:paraId="5A1A9D7C">
            <w:pPr>
              <w:overflowPunct w:val="0"/>
              <w:autoSpaceDE w:val="0"/>
              <w:autoSpaceDN w:val="0"/>
              <w:adjustRightInd w:val="0"/>
              <w:spacing w:after="180"/>
              <w:ind w:left="1702" w:hanging="284"/>
              <w:textAlignment w:val="baseline"/>
              <w:rPr>
                <w:rFonts w:ascii="Times New Roman" w:hAnsi="Times New Roman" w:eastAsia="Times New Roman" w:cs="Times New Roman"/>
                <w:sz w:val="20"/>
                <w:szCs w:val="20"/>
                <w:lang w:val="en-GB" w:eastAsia="ja-JP" w:bidi="ar-SA"/>
              </w:rPr>
            </w:pPr>
            <w:r>
              <w:rPr>
                <w:rFonts w:ascii="Times New Roman" w:hAnsi="Times New Roman" w:eastAsia="Times New Roman" w:cs="Times New Roman"/>
                <w:sz w:val="20"/>
                <w:szCs w:val="20"/>
                <w:lang w:val="en-GB" w:eastAsia="ja-JP" w:bidi="ar-SA"/>
              </w:rPr>
              <w:t>5&gt;</w:t>
            </w:r>
            <w:r>
              <w:rPr>
                <w:rFonts w:ascii="Times New Roman" w:hAnsi="Times New Roman" w:eastAsia="Times New Roman" w:cs="Times New Roman"/>
                <w:sz w:val="20"/>
                <w:szCs w:val="20"/>
                <w:lang w:val="en-GB" w:eastAsia="ja-JP" w:bidi="ar-SA"/>
              </w:rPr>
              <w:tab/>
            </w:r>
            <w:r>
              <w:rPr>
                <w:rFonts w:ascii="Times New Roman" w:hAnsi="Times New Roman" w:eastAsia="Times New Roman" w:cs="Times New Roman"/>
                <w:sz w:val="20"/>
                <w:szCs w:val="20"/>
                <w:lang w:val="en-GB" w:eastAsia="ja-JP" w:bidi="ar-SA"/>
              </w:rPr>
              <w:t xml:space="preserve">if the </w:t>
            </w:r>
            <w:r>
              <w:rPr>
                <w:rFonts w:ascii="Times New Roman" w:hAnsi="Times New Roman" w:eastAsia="Times New Roman" w:cs="Times New Roman"/>
                <w:i/>
                <w:sz w:val="20"/>
                <w:szCs w:val="20"/>
                <w:lang w:val="en-GB" w:eastAsia="ja-JP" w:bidi="ar-SA"/>
              </w:rPr>
              <w:t>measObject</w:t>
            </w:r>
            <w:r>
              <w:rPr>
                <w:rFonts w:ascii="Times New Roman" w:hAnsi="Times New Roman" w:eastAsia="Times New Roman" w:cs="Times New Roman"/>
                <w:sz w:val="20"/>
                <w:szCs w:val="20"/>
                <w:lang w:val="en-GB" w:eastAsia="ja-JP" w:bidi="ar-SA"/>
              </w:rPr>
              <w:t xml:space="preserve"> is associated to NR and the </w:t>
            </w:r>
            <w:r>
              <w:rPr>
                <w:rFonts w:ascii="Times New Roman" w:hAnsi="Times New Roman" w:eastAsia="Times New Roman" w:cs="Times New Roman"/>
                <w:i/>
                <w:sz w:val="20"/>
                <w:szCs w:val="20"/>
                <w:lang w:val="en-GB" w:eastAsia="ja-JP" w:bidi="ar-SA"/>
              </w:rPr>
              <w:t>rsType</w:t>
            </w:r>
            <w:r>
              <w:rPr>
                <w:rFonts w:ascii="Times New Roman" w:hAnsi="Times New Roman" w:eastAsia="Times New Roman" w:cs="Times New Roman"/>
                <w:sz w:val="20"/>
                <w:szCs w:val="20"/>
                <w:lang w:val="en-GB" w:eastAsia="ja-JP" w:bidi="ar-SA"/>
              </w:rPr>
              <w:t xml:space="preserve"> is set to </w:t>
            </w:r>
            <w:r>
              <w:rPr>
                <w:rFonts w:ascii="Times New Roman" w:hAnsi="Times New Roman" w:eastAsia="Times New Roman" w:cs="Times New Roman"/>
                <w:i/>
                <w:sz w:val="20"/>
                <w:szCs w:val="20"/>
                <w:lang w:val="en-GB" w:eastAsia="ja-JP" w:bidi="ar-SA"/>
              </w:rPr>
              <w:t>csi-rs</w:t>
            </w:r>
            <w:r>
              <w:rPr>
                <w:rFonts w:ascii="Times New Roman" w:hAnsi="Times New Roman" w:eastAsia="Times New Roman" w:cs="Times New Roman"/>
                <w:sz w:val="20"/>
                <w:szCs w:val="20"/>
                <w:lang w:val="en-GB" w:eastAsia="ja-JP" w:bidi="ar-SA"/>
              </w:rPr>
              <w:t>:</w:t>
            </w:r>
          </w:p>
          <w:p w14:paraId="4B04BCC2">
            <w:pPr>
              <w:overflowPunct w:val="0"/>
              <w:autoSpaceDE w:val="0"/>
              <w:autoSpaceDN w:val="0"/>
              <w:adjustRightInd w:val="0"/>
              <w:spacing w:after="180"/>
              <w:ind w:left="1985" w:hanging="284"/>
              <w:textAlignment w:val="baseline"/>
              <w:rPr>
                <w:rFonts w:ascii="Times New Roman" w:hAnsi="Times New Roman" w:eastAsia="Times New Roman" w:cs="Times New Roman"/>
                <w:sz w:val="20"/>
                <w:szCs w:val="20"/>
                <w:lang w:val="en-GB" w:eastAsia="ja-JP" w:bidi="ar-SA"/>
              </w:rPr>
            </w:pPr>
            <w:r>
              <w:rPr>
                <w:rFonts w:ascii="Times New Roman" w:hAnsi="Times New Roman" w:eastAsia="Times New Roman" w:cs="Times New Roman"/>
                <w:sz w:val="20"/>
                <w:szCs w:val="20"/>
                <w:lang w:val="en-GB" w:eastAsia="ja-JP" w:bidi="ar-SA"/>
              </w:rPr>
              <w:t>6&gt;</w:t>
            </w:r>
            <w:r>
              <w:rPr>
                <w:rFonts w:ascii="Times New Roman" w:hAnsi="Times New Roman" w:eastAsia="Times New Roman" w:cs="Times New Roman"/>
                <w:sz w:val="20"/>
                <w:szCs w:val="20"/>
                <w:lang w:val="en-GB" w:eastAsia="ja-JP" w:bidi="ar-SA"/>
              </w:rPr>
              <w:tab/>
            </w:r>
            <w:r>
              <w:rPr>
                <w:rFonts w:ascii="Times New Roman" w:hAnsi="Times New Roman" w:eastAsia="Times New Roman" w:cs="Times New Roman"/>
                <w:sz w:val="20"/>
                <w:szCs w:val="20"/>
                <w:lang w:val="en-GB" w:eastAsia="ja-JP" w:bidi="ar-SA"/>
              </w:rPr>
              <w:t>if reportQuantityRS-Indexes and maxNrofRS-IndexesToReport for the associated reportConfig are configured:</w:t>
            </w:r>
          </w:p>
          <w:p w14:paraId="14A002FA">
            <w:pPr>
              <w:overflowPunct w:val="0"/>
              <w:autoSpaceDE w:val="0"/>
              <w:autoSpaceDN w:val="0"/>
              <w:adjustRightInd w:val="0"/>
              <w:spacing w:after="180"/>
              <w:ind w:left="2269" w:hanging="284"/>
              <w:textAlignment w:val="baseline"/>
              <w:rPr>
                <w:rFonts w:ascii="Times New Roman" w:hAnsi="Times New Roman" w:eastAsia="Times New Roman" w:cs="Times New Roman"/>
                <w:sz w:val="20"/>
                <w:szCs w:val="20"/>
                <w:lang w:val="en-GB" w:eastAsia="ja-JP" w:bidi="ar-SA"/>
              </w:rPr>
            </w:pPr>
            <w:r>
              <w:rPr>
                <w:rFonts w:ascii="Times New Roman" w:hAnsi="Times New Roman" w:eastAsia="Times New Roman" w:cs="Times New Roman"/>
                <w:sz w:val="20"/>
                <w:szCs w:val="20"/>
                <w:lang w:val="en-GB" w:eastAsia="ja-JP" w:bidi="ar-SA"/>
              </w:rPr>
              <w:t>7&gt;</w:t>
            </w:r>
            <w:r>
              <w:rPr>
                <w:rFonts w:ascii="Times New Roman" w:hAnsi="Times New Roman" w:eastAsia="Times New Roman" w:cs="Times New Roman"/>
                <w:sz w:val="20"/>
                <w:szCs w:val="20"/>
                <w:lang w:val="en-GB" w:eastAsia="ja-JP" w:bidi="ar-SA"/>
              </w:rPr>
              <w:tab/>
            </w:r>
            <w:r>
              <w:rPr>
                <w:rFonts w:ascii="Times New Roman" w:hAnsi="Times New Roman" w:eastAsia="Times New Roman" w:cs="Times New Roman"/>
                <w:sz w:val="20"/>
                <w:szCs w:val="20"/>
                <w:lang w:val="en-GB" w:eastAsia="ja-JP" w:bidi="ar-SA"/>
              </w:rPr>
              <w:t xml:space="preserve">derive layer 3 filtered beam measurements only based on CSI-RS for each measurement quantity indicated in </w:t>
            </w:r>
            <w:r>
              <w:rPr>
                <w:rFonts w:ascii="Times New Roman" w:hAnsi="Times New Roman" w:eastAsia="Times New Roman" w:cs="Times New Roman"/>
                <w:i/>
                <w:sz w:val="20"/>
                <w:szCs w:val="20"/>
                <w:lang w:val="en-GB" w:eastAsia="ja-JP" w:bidi="ar-SA"/>
              </w:rPr>
              <w:t>reportQuantityRS-Indexes</w:t>
            </w:r>
            <w:r>
              <w:rPr>
                <w:rFonts w:ascii="Times New Roman" w:hAnsi="Times New Roman" w:eastAsia="Times New Roman" w:cs="Times New Roman"/>
                <w:sz w:val="20"/>
                <w:szCs w:val="20"/>
                <w:lang w:val="en-GB" w:eastAsia="ja-JP" w:bidi="ar-SA"/>
              </w:rPr>
              <w:t>, as described in 5.5.3.3a;</w:t>
            </w:r>
          </w:p>
          <w:p w14:paraId="05EDA928">
            <w:pPr>
              <w:overflowPunct w:val="0"/>
              <w:autoSpaceDE w:val="0"/>
              <w:autoSpaceDN w:val="0"/>
              <w:adjustRightInd w:val="0"/>
              <w:spacing w:after="180"/>
              <w:ind w:left="1985" w:hanging="284"/>
              <w:textAlignment w:val="baseline"/>
              <w:rPr>
                <w:rFonts w:ascii="Times New Roman" w:hAnsi="Times New Roman" w:eastAsia="Times New Roman" w:cs="Times New Roman"/>
                <w:sz w:val="20"/>
                <w:szCs w:val="20"/>
                <w:lang w:val="en-GB" w:eastAsia="ja-JP" w:bidi="ar-SA"/>
              </w:rPr>
            </w:pPr>
            <w:r>
              <w:rPr>
                <w:rFonts w:ascii="Times New Roman" w:hAnsi="Times New Roman" w:eastAsia="Times New Roman" w:cs="Times New Roman"/>
                <w:sz w:val="20"/>
                <w:szCs w:val="20"/>
                <w:lang w:val="en-GB" w:eastAsia="ja-JP" w:bidi="ar-SA"/>
              </w:rPr>
              <w:t>6&gt;</w:t>
            </w:r>
            <w:r>
              <w:rPr>
                <w:rFonts w:ascii="Times New Roman" w:hAnsi="Times New Roman" w:eastAsia="Times New Roman" w:cs="Times New Roman"/>
                <w:sz w:val="20"/>
                <w:szCs w:val="20"/>
                <w:lang w:val="en-GB" w:eastAsia="ja-JP" w:bidi="ar-SA"/>
              </w:rPr>
              <w:tab/>
            </w:r>
            <w:r>
              <w:rPr>
                <w:rFonts w:ascii="Times New Roman" w:hAnsi="Times New Roman" w:eastAsia="Times New Roman" w:cs="Times New Roman"/>
                <w:sz w:val="20"/>
                <w:szCs w:val="20"/>
                <w:lang w:val="en-GB" w:eastAsia="ja-JP" w:bidi="ar-SA"/>
              </w:rPr>
              <w:t xml:space="preserve">derive cell measurement results based on CSI-RS for the trigger quantity and each measurement quantity indicated in </w:t>
            </w:r>
            <w:r>
              <w:rPr>
                <w:rFonts w:ascii="Times New Roman" w:hAnsi="Times New Roman" w:eastAsia="Times New Roman" w:cs="Times New Roman"/>
                <w:i/>
                <w:sz w:val="20"/>
                <w:szCs w:val="20"/>
                <w:lang w:val="en-GB" w:eastAsia="ja-JP" w:bidi="ar-SA"/>
              </w:rPr>
              <w:t>reportQuantityCell</w:t>
            </w:r>
            <w:r>
              <w:rPr>
                <w:rFonts w:ascii="Times New Roman" w:hAnsi="Times New Roman" w:eastAsia="Times New Roman" w:cs="Times New Roman"/>
                <w:sz w:val="20"/>
                <w:szCs w:val="20"/>
                <w:lang w:val="en-GB" w:eastAsia="ja-JP" w:bidi="ar-SA"/>
              </w:rPr>
              <w:t xml:space="preserve"> using parameters from the associated </w:t>
            </w:r>
            <w:r>
              <w:rPr>
                <w:rFonts w:ascii="Times New Roman" w:hAnsi="Times New Roman" w:eastAsia="Times New Roman" w:cs="Times New Roman"/>
                <w:i/>
                <w:sz w:val="20"/>
                <w:szCs w:val="20"/>
                <w:lang w:val="en-GB" w:eastAsia="ja-JP" w:bidi="ar-SA"/>
              </w:rPr>
              <w:t>measObject</w:t>
            </w:r>
            <w:r>
              <w:rPr>
                <w:rFonts w:ascii="Times New Roman" w:hAnsi="Times New Roman" w:eastAsia="Times New Roman" w:cs="Times New Roman"/>
                <w:sz w:val="20"/>
                <w:szCs w:val="20"/>
                <w:lang w:val="en-GB" w:eastAsia="ja-JP" w:bidi="ar-SA"/>
              </w:rPr>
              <w:t>, as described in 5.5.3.3;</w:t>
            </w:r>
          </w:p>
          <w:p w14:paraId="1F11E12A">
            <w:pPr>
              <w:overflowPunct w:val="0"/>
              <w:autoSpaceDE w:val="0"/>
              <w:autoSpaceDN w:val="0"/>
              <w:adjustRightInd w:val="0"/>
              <w:spacing w:after="180"/>
              <w:ind w:left="1702" w:hanging="284"/>
              <w:textAlignment w:val="baseline"/>
              <w:rPr>
                <w:rFonts w:ascii="Times New Roman" w:hAnsi="Times New Roman" w:eastAsia="Times New Roman" w:cs="Times New Roman"/>
                <w:sz w:val="20"/>
                <w:szCs w:val="20"/>
                <w:lang w:val="en-GB" w:eastAsia="ja-JP" w:bidi="ar-SA"/>
              </w:rPr>
            </w:pPr>
            <w:r>
              <w:rPr>
                <w:rFonts w:ascii="Times New Roman" w:hAnsi="Times New Roman" w:eastAsia="Times New Roman" w:cs="Times New Roman"/>
                <w:sz w:val="20"/>
                <w:szCs w:val="20"/>
                <w:lang w:val="en-GB" w:eastAsia="ja-JP" w:bidi="ar-SA"/>
              </w:rPr>
              <w:t>5&gt;</w:t>
            </w:r>
            <w:r>
              <w:rPr>
                <w:rFonts w:ascii="Times New Roman" w:hAnsi="Times New Roman" w:eastAsia="Times New Roman" w:cs="Times New Roman"/>
                <w:sz w:val="20"/>
                <w:szCs w:val="20"/>
                <w:lang w:val="en-GB" w:eastAsia="ja-JP" w:bidi="ar-SA"/>
              </w:rPr>
              <w:tab/>
            </w:r>
            <w:r>
              <w:rPr>
                <w:rFonts w:ascii="Times New Roman" w:hAnsi="Times New Roman" w:eastAsia="Times New Roman" w:cs="Times New Roman"/>
                <w:sz w:val="20"/>
                <w:szCs w:val="20"/>
                <w:lang w:val="en-GB" w:eastAsia="ja-JP" w:bidi="ar-SA"/>
              </w:rPr>
              <w:t xml:space="preserve">if the </w:t>
            </w:r>
            <w:r>
              <w:rPr>
                <w:rFonts w:ascii="Times New Roman" w:hAnsi="Times New Roman" w:eastAsia="Times New Roman" w:cs="Times New Roman"/>
                <w:i/>
                <w:sz w:val="20"/>
                <w:szCs w:val="20"/>
                <w:lang w:val="en-GB" w:eastAsia="ja-JP" w:bidi="ar-SA"/>
              </w:rPr>
              <w:t>measObject</w:t>
            </w:r>
            <w:r>
              <w:rPr>
                <w:rFonts w:ascii="Times New Roman" w:hAnsi="Times New Roman" w:eastAsia="Times New Roman" w:cs="Times New Roman"/>
                <w:sz w:val="20"/>
                <w:szCs w:val="20"/>
                <w:lang w:val="en-GB" w:eastAsia="ja-JP" w:bidi="ar-SA"/>
              </w:rPr>
              <w:t xml:space="preserve"> is associated to NR and the </w:t>
            </w:r>
            <w:r>
              <w:rPr>
                <w:rFonts w:ascii="Times New Roman" w:hAnsi="Times New Roman" w:eastAsia="Times New Roman" w:cs="Times New Roman"/>
                <w:i/>
                <w:sz w:val="20"/>
                <w:szCs w:val="20"/>
                <w:lang w:val="en-GB" w:eastAsia="ja-JP" w:bidi="ar-SA"/>
              </w:rPr>
              <w:t>rsType</w:t>
            </w:r>
            <w:r>
              <w:rPr>
                <w:rFonts w:ascii="Times New Roman" w:hAnsi="Times New Roman" w:eastAsia="Times New Roman" w:cs="Times New Roman"/>
                <w:sz w:val="20"/>
                <w:szCs w:val="20"/>
                <w:lang w:val="en-GB" w:eastAsia="ja-JP" w:bidi="ar-SA"/>
              </w:rPr>
              <w:t xml:space="preserve"> is set to </w:t>
            </w:r>
            <w:r>
              <w:rPr>
                <w:rFonts w:ascii="Times New Roman" w:hAnsi="Times New Roman" w:eastAsia="Times New Roman" w:cs="Times New Roman"/>
                <w:i/>
                <w:sz w:val="20"/>
                <w:szCs w:val="20"/>
                <w:lang w:val="en-GB" w:eastAsia="ja-JP" w:bidi="ar-SA"/>
              </w:rPr>
              <w:t>ssb</w:t>
            </w:r>
            <w:r>
              <w:rPr>
                <w:rFonts w:ascii="Times New Roman" w:hAnsi="Times New Roman" w:eastAsia="Times New Roman" w:cs="Times New Roman"/>
                <w:sz w:val="20"/>
                <w:szCs w:val="20"/>
                <w:lang w:val="en-GB" w:eastAsia="ja-JP" w:bidi="ar-SA"/>
              </w:rPr>
              <w:t>:</w:t>
            </w:r>
          </w:p>
          <w:p w14:paraId="706CC9F7">
            <w:pPr>
              <w:overflowPunct w:val="0"/>
              <w:autoSpaceDE w:val="0"/>
              <w:autoSpaceDN w:val="0"/>
              <w:adjustRightInd w:val="0"/>
              <w:spacing w:after="180"/>
              <w:ind w:left="1985" w:hanging="284"/>
              <w:textAlignment w:val="baseline"/>
              <w:rPr>
                <w:rFonts w:ascii="Times New Roman" w:hAnsi="Times New Roman" w:eastAsia="Times New Roman" w:cs="Times New Roman"/>
                <w:sz w:val="20"/>
                <w:szCs w:val="20"/>
                <w:lang w:val="en-GB" w:eastAsia="ja-JP" w:bidi="ar-SA"/>
              </w:rPr>
            </w:pPr>
            <w:r>
              <w:rPr>
                <w:rFonts w:ascii="Times New Roman" w:hAnsi="Times New Roman" w:eastAsia="Times New Roman" w:cs="Times New Roman"/>
                <w:sz w:val="20"/>
                <w:szCs w:val="20"/>
                <w:lang w:val="en-GB" w:eastAsia="ja-JP" w:bidi="ar-SA"/>
              </w:rPr>
              <w:t>6&gt;</w:t>
            </w:r>
            <w:r>
              <w:rPr>
                <w:rFonts w:ascii="Times New Roman" w:hAnsi="Times New Roman" w:eastAsia="Times New Roman" w:cs="Times New Roman"/>
                <w:sz w:val="20"/>
                <w:szCs w:val="20"/>
                <w:lang w:val="en-GB" w:eastAsia="ja-JP" w:bidi="ar-SA"/>
              </w:rPr>
              <w:tab/>
            </w:r>
            <w:r>
              <w:rPr>
                <w:rFonts w:ascii="Times New Roman" w:hAnsi="Times New Roman" w:eastAsia="Times New Roman" w:cs="Times New Roman"/>
                <w:sz w:val="20"/>
                <w:szCs w:val="20"/>
                <w:lang w:val="en-GB" w:eastAsia="ja-JP" w:bidi="ar-SA"/>
              </w:rPr>
              <w:t>if reportQuantityRS-Indexes and maxNrofRS-IndexesToReport for the associated reportConfig are configured:</w:t>
            </w:r>
          </w:p>
          <w:p w14:paraId="39034A7A">
            <w:pPr>
              <w:overflowPunct w:val="0"/>
              <w:autoSpaceDE w:val="0"/>
              <w:autoSpaceDN w:val="0"/>
              <w:adjustRightInd w:val="0"/>
              <w:spacing w:after="180"/>
              <w:ind w:left="2269" w:hanging="284"/>
              <w:textAlignment w:val="baseline"/>
              <w:rPr>
                <w:rFonts w:ascii="Times New Roman" w:hAnsi="Times New Roman" w:eastAsia="Times New Roman" w:cs="Times New Roman"/>
                <w:sz w:val="20"/>
                <w:szCs w:val="20"/>
                <w:lang w:val="en-GB" w:eastAsia="ja-JP" w:bidi="ar-SA"/>
              </w:rPr>
            </w:pPr>
            <w:r>
              <w:rPr>
                <w:rFonts w:ascii="Times New Roman" w:hAnsi="Times New Roman" w:eastAsia="Times New Roman" w:cs="Times New Roman"/>
                <w:sz w:val="20"/>
                <w:szCs w:val="20"/>
                <w:lang w:val="en-GB" w:eastAsia="ja-JP" w:bidi="ar-SA"/>
              </w:rPr>
              <w:t>7&gt;</w:t>
            </w:r>
            <w:r>
              <w:rPr>
                <w:rFonts w:ascii="Times New Roman" w:hAnsi="Times New Roman" w:eastAsia="Times New Roman" w:cs="Times New Roman"/>
                <w:sz w:val="20"/>
                <w:szCs w:val="20"/>
                <w:lang w:val="en-GB" w:eastAsia="ja-JP" w:bidi="ar-SA"/>
              </w:rPr>
              <w:tab/>
            </w:r>
            <w:r>
              <w:rPr>
                <w:rFonts w:ascii="Times New Roman" w:hAnsi="Times New Roman" w:eastAsia="Times New Roman" w:cs="Times New Roman"/>
                <w:sz w:val="20"/>
                <w:szCs w:val="20"/>
                <w:lang w:val="en-GB" w:eastAsia="ja-JP" w:bidi="ar-SA"/>
              </w:rPr>
              <w:t xml:space="preserve">derive layer 3 beam measurements only based on SS/PBCH block for each measurement quantity indicated in </w:t>
            </w:r>
            <w:r>
              <w:rPr>
                <w:rFonts w:ascii="Times New Roman" w:hAnsi="Times New Roman" w:eastAsia="Times New Roman" w:cs="Times New Roman"/>
                <w:i/>
                <w:sz w:val="20"/>
                <w:szCs w:val="20"/>
                <w:lang w:val="en-GB" w:eastAsia="ja-JP" w:bidi="ar-SA"/>
              </w:rPr>
              <w:t>reportQuantityRS-Indexes</w:t>
            </w:r>
            <w:r>
              <w:rPr>
                <w:rFonts w:ascii="Times New Roman" w:hAnsi="Times New Roman" w:eastAsia="Times New Roman" w:cs="Times New Roman"/>
                <w:sz w:val="20"/>
                <w:szCs w:val="20"/>
                <w:lang w:val="en-GB" w:eastAsia="ja-JP" w:bidi="ar-SA"/>
              </w:rPr>
              <w:t>, as described in 5.5.3.3a;</w:t>
            </w:r>
          </w:p>
          <w:p w14:paraId="27461D45">
            <w:pPr>
              <w:overflowPunct w:val="0"/>
              <w:autoSpaceDE w:val="0"/>
              <w:autoSpaceDN w:val="0"/>
              <w:adjustRightInd w:val="0"/>
              <w:spacing w:after="180"/>
              <w:ind w:left="1985" w:hanging="284"/>
              <w:textAlignment w:val="baseline"/>
              <w:rPr>
                <w:rFonts w:hint="default" w:ascii="Times New Roman" w:hAnsi="Times New Roman" w:eastAsia="Times New Roman" w:cs="Times New Roman"/>
                <w:sz w:val="20"/>
                <w:szCs w:val="20"/>
                <w:lang w:val="en-US" w:eastAsia="zh-CN" w:bidi="ar-SA"/>
              </w:rPr>
            </w:pPr>
            <w:r>
              <w:rPr>
                <w:rFonts w:ascii="Times New Roman" w:hAnsi="Times New Roman" w:eastAsia="Times New Roman" w:cs="Times New Roman"/>
                <w:sz w:val="20"/>
                <w:szCs w:val="20"/>
                <w:lang w:val="en-GB" w:eastAsia="ja-JP" w:bidi="ar-SA"/>
              </w:rPr>
              <w:t>6&gt;</w:t>
            </w:r>
            <w:r>
              <w:rPr>
                <w:rFonts w:ascii="Times New Roman" w:hAnsi="Times New Roman" w:eastAsia="Times New Roman" w:cs="Times New Roman"/>
                <w:sz w:val="20"/>
                <w:szCs w:val="20"/>
                <w:lang w:val="en-GB" w:eastAsia="ja-JP" w:bidi="ar-SA"/>
              </w:rPr>
              <w:tab/>
            </w:r>
            <w:r>
              <w:rPr>
                <w:rFonts w:ascii="Times New Roman" w:hAnsi="Times New Roman" w:eastAsia="Times New Roman" w:cs="Times New Roman"/>
                <w:sz w:val="20"/>
                <w:szCs w:val="20"/>
                <w:lang w:val="en-GB" w:eastAsia="ja-JP" w:bidi="ar-SA"/>
              </w:rPr>
              <w:t xml:space="preserve">derive cell measurement results based on SS/PBCH block for the trigger quantity and each measurement quantity indicated in </w:t>
            </w:r>
            <w:r>
              <w:rPr>
                <w:rFonts w:ascii="Times New Roman" w:hAnsi="Times New Roman" w:eastAsia="Times New Roman" w:cs="Times New Roman"/>
                <w:i/>
                <w:sz w:val="20"/>
                <w:szCs w:val="20"/>
                <w:lang w:val="en-GB" w:eastAsia="ja-JP" w:bidi="ar-SA"/>
              </w:rPr>
              <w:t>reportQuantityCell</w:t>
            </w:r>
            <w:r>
              <w:rPr>
                <w:rFonts w:ascii="Times New Roman" w:hAnsi="Times New Roman" w:eastAsia="Times New Roman" w:cs="Times New Roman"/>
                <w:sz w:val="20"/>
                <w:szCs w:val="20"/>
                <w:lang w:val="en-GB" w:eastAsia="ja-JP" w:bidi="ar-SA"/>
              </w:rPr>
              <w:t xml:space="preserve"> using parameters from the associated </w:t>
            </w:r>
            <w:r>
              <w:rPr>
                <w:rFonts w:ascii="Times New Roman" w:hAnsi="Times New Roman" w:eastAsia="Times New Roman" w:cs="Times New Roman"/>
                <w:i/>
                <w:sz w:val="20"/>
                <w:szCs w:val="20"/>
                <w:lang w:val="en-GB" w:eastAsia="ja-JP" w:bidi="ar-SA"/>
              </w:rPr>
              <w:t>measObject</w:t>
            </w:r>
            <w:r>
              <w:rPr>
                <w:rFonts w:ascii="Times New Roman" w:hAnsi="Times New Roman" w:eastAsia="Times New Roman" w:cs="Times New Roman"/>
                <w:sz w:val="20"/>
                <w:szCs w:val="20"/>
                <w:lang w:val="en-GB" w:eastAsia="ja-JP" w:bidi="ar-SA"/>
              </w:rPr>
              <w:t>, as described in 5.5.3.3;</w:t>
            </w:r>
          </w:p>
        </w:tc>
      </w:tr>
    </w:tbl>
    <w:p w14:paraId="3B0197F1">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sz w:val="20"/>
          <w:szCs w:val="20"/>
          <w:lang w:val="en-US" w:eastAsia="zh-CN"/>
        </w:rPr>
      </w:pPr>
      <w:r>
        <w:rPr>
          <w:rFonts w:hint="eastAsia" w:eastAsia="等线"/>
          <w:sz w:val="20"/>
          <w:szCs w:val="20"/>
          <w:lang w:val="en-US" w:eastAsia="zh-CN"/>
        </w:rPr>
        <w:t>Such existing configuration can not fulfill the ATG demand that neighbour cell measurement can be skipped only for SCC and/or CC with deactivated SCell. Therefore, enhancement for R19 ATG shall be considered.</w:t>
      </w:r>
    </w:p>
    <w:p w14:paraId="4455B7E8">
      <w:pPr>
        <w:pageBreakBefore w:val="0"/>
        <w:widowControl/>
        <w:tabs>
          <w:tab w:val="left" w:pos="1134"/>
        </w:tabs>
        <w:kinsoku/>
        <w:wordWrap/>
        <w:topLinePunct w:val="0"/>
        <w:bidi w:val="0"/>
        <w:snapToGrid/>
        <w:spacing w:before="60" w:after="60"/>
        <w:jc w:val="both"/>
        <w:rPr>
          <w:rFonts w:hint="default" w:eastAsia="等线" w:cs="Times New Roman"/>
          <w:b/>
          <w:bCs/>
          <w:i/>
          <w:iCs/>
          <w:sz w:val="20"/>
          <w:szCs w:val="20"/>
          <w:lang w:val="en-US" w:eastAsia="zh-CN"/>
        </w:rPr>
      </w:pPr>
      <w:r>
        <w:rPr>
          <w:rFonts w:hint="eastAsia" w:eastAsia="等线" w:cs="Times New Roman"/>
          <w:b/>
          <w:bCs/>
          <w:i/>
          <w:iCs/>
          <w:sz w:val="20"/>
          <w:szCs w:val="20"/>
          <w:lang w:val="en-US" w:eastAsia="zh-CN"/>
        </w:rPr>
        <w:t xml:space="preserve">Observation 1: The existing network configuration can not achieve the functionality that UE only </w:t>
      </w:r>
      <w:r>
        <w:rPr>
          <w:rFonts w:hint="default" w:eastAsia="等线" w:cs="Times New Roman"/>
          <w:b/>
          <w:bCs/>
          <w:i/>
          <w:iCs/>
          <w:sz w:val="20"/>
          <w:szCs w:val="20"/>
          <w:lang w:val="en-US" w:eastAsia="zh-CN"/>
        </w:rPr>
        <w:t>skip the neighbour cell measurement of {SCC and/or CC with deactivated SCell}</w:t>
      </w:r>
      <w:r>
        <w:rPr>
          <w:rFonts w:hint="eastAsia" w:eastAsia="等线" w:cs="Times New Roman"/>
          <w:b/>
          <w:bCs/>
          <w:i/>
          <w:iCs/>
          <w:sz w:val="20"/>
          <w:szCs w:val="20"/>
          <w:lang w:val="en-US" w:eastAsia="zh-CN"/>
        </w:rPr>
        <w:t>.</w:t>
      </w:r>
    </w:p>
    <w:p w14:paraId="5D19C9F4">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ascii="Times New Roman" w:hAnsi="Times New Roman" w:eastAsia="等线" w:cs="Times New Roman"/>
          <w:sz w:val="20"/>
          <w:szCs w:val="20"/>
          <w:lang w:val="en-US" w:eastAsia="zh-CN"/>
        </w:rPr>
      </w:pPr>
      <w:r>
        <w:rPr>
          <w:rFonts w:hint="eastAsia" w:eastAsia="等线"/>
          <w:sz w:val="20"/>
          <w:szCs w:val="20"/>
          <w:lang w:val="en-US" w:eastAsia="zh-CN"/>
        </w:rPr>
        <w:t xml:space="preserve">We propose to achieve such feature by network configuration. </w:t>
      </w:r>
      <w:r>
        <w:rPr>
          <w:rFonts w:hint="eastAsia" w:eastAsia="等线" w:cs="Times New Roman"/>
          <w:sz w:val="20"/>
          <w:szCs w:val="20"/>
          <w:lang w:val="en-US" w:eastAsia="zh-CN"/>
        </w:rPr>
        <w:t>I</w:t>
      </w:r>
      <w:r>
        <w:rPr>
          <w:rFonts w:hint="eastAsia" w:ascii="Times New Roman" w:hAnsi="Times New Roman" w:eastAsia="等线" w:cs="Times New Roman"/>
          <w:sz w:val="20"/>
          <w:szCs w:val="20"/>
          <w:lang w:val="en-US" w:eastAsia="zh-CN"/>
        </w:rPr>
        <w:t>f network identify neighbour cell measurement on SCC is not needed by deployment</w:t>
      </w:r>
      <w:r>
        <w:rPr>
          <w:rFonts w:hint="eastAsia" w:eastAsia="等线" w:cs="Times New Roman"/>
          <w:sz w:val="20"/>
          <w:szCs w:val="20"/>
          <w:lang w:val="en-US" w:eastAsia="zh-CN"/>
        </w:rPr>
        <w:t>,</w:t>
      </w:r>
      <w:r>
        <w:rPr>
          <w:rFonts w:hint="eastAsia" w:ascii="Times New Roman" w:hAnsi="Times New Roman" w:eastAsia="等线" w:cs="Times New Roman"/>
          <w:sz w:val="20"/>
          <w:szCs w:val="20"/>
          <w:lang w:val="en-US" w:eastAsia="zh-CN"/>
        </w:rPr>
        <w:t xml:space="preserve"> or </w:t>
      </w:r>
      <w:r>
        <w:rPr>
          <w:rFonts w:hint="eastAsia" w:eastAsia="等线" w:cs="Times New Roman"/>
          <w:sz w:val="20"/>
          <w:szCs w:val="20"/>
          <w:lang w:val="en-US" w:eastAsia="zh-CN"/>
        </w:rPr>
        <w:t xml:space="preserve">by </w:t>
      </w:r>
      <w:r>
        <w:rPr>
          <w:rFonts w:hint="eastAsia" w:ascii="Times New Roman" w:hAnsi="Times New Roman" w:eastAsia="等线" w:cs="Times New Roman"/>
          <w:sz w:val="20"/>
          <w:szCs w:val="20"/>
          <w:lang w:val="en-US" w:eastAsia="zh-CN"/>
        </w:rPr>
        <w:t>the measurement report from PCell</w:t>
      </w:r>
      <w:r>
        <w:rPr>
          <w:rFonts w:hint="eastAsia" w:eastAsia="等线" w:cs="Times New Roman"/>
          <w:sz w:val="20"/>
          <w:szCs w:val="20"/>
          <w:lang w:val="en-US" w:eastAsia="zh-CN"/>
        </w:rPr>
        <w:t xml:space="preserve">, </w:t>
      </w:r>
      <w:r>
        <w:rPr>
          <w:rFonts w:hint="eastAsia" w:ascii="Times New Roman" w:hAnsi="Times New Roman" w:eastAsia="等线" w:cs="Times New Roman"/>
          <w:sz w:val="20"/>
          <w:szCs w:val="20"/>
          <w:lang w:val="en-US" w:eastAsia="zh-CN"/>
        </w:rPr>
        <w:t>then network can configure a signal which indicate</w:t>
      </w:r>
      <w:r>
        <w:rPr>
          <w:rFonts w:hint="eastAsia" w:eastAsia="等线" w:cs="Times New Roman"/>
          <w:sz w:val="20"/>
          <w:szCs w:val="20"/>
          <w:lang w:val="en-US" w:eastAsia="zh-CN"/>
        </w:rPr>
        <w:t>s</w:t>
      </w:r>
      <w:r>
        <w:rPr>
          <w:rFonts w:hint="eastAsia" w:ascii="Times New Roman" w:hAnsi="Times New Roman" w:eastAsia="等线" w:cs="Times New Roman"/>
          <w:sz w:val="20"/>
          <w:szCs w:val="20"/>
          <w:lang w:val="en-US" w:eastAsia="zh-CN"/>
        </w:rPr>
        <w:t xml:space="preserve"> UE </w:t>
      </w:r>
      <w:r>
        <w:rPr>
          <w:rFonts w:hint="eastAsia" w:eastAsia="等线" w:cs="Times New Roman"/>
          <w:sz w:val="20"/>
          <w:szCs w:val="20"/>
          <w:lang w:val="en-US" w:eastAsia="zh-CN"/>
        </w:rPr>
        <w:t>is not required to</w:t>
      </w:r>
      <w:r>
        <w:rPr>
          <w:rFonts w:hint="eastAsia" w:ascii="Times New Roman" w:hAnsi="Times New Roman" w:eastAsia="等线" w:cs="Times New Roman"/>
          <w:sz w:val="20"/>
          <w:szCs w:val="20"/>
          <w:lang w:val="en-US" w:eastAsia="zh-CN"/>
        </w:rPr>
        <w:t xml:space="preserve"> measure the </w:t>
      </w:r>
      <w:r>
        <w:rPr>
          <w:rFonts w:hint="eastAsia" w:eastAsia="等线" w:cs="Times New Roman"/>
          <w:sz w:val="20"/>
          <w:szCs w:val="20"/>
          <w:lang w:val="en-US" w:eastAsia="zh-CN"/>
        </w:rPr>
        <w:t>neighbour c</w:t>
      </w:r>
      <w:r>
        <w:rPr>
          <w:rFonts w:hint="eastAsia" w:ascii="Times New Roman" w:hAnsi="Times New Roman" w:eastAsia="等线" w:cs="Times New Roman"/>
          <w:sz w:val="20"/>
          <w:szCs w:val="20"/>
          <w:lang w:val="en-US" w:eastAsia="zh-CN"/>
        </w:rPr>
        <w:t>ell</w:t>
      </w:r>
      <w:r>
        <w:rPr>
          <w:rFonts w:hint="eastAsia" w:eastAsia="等线" w:cs="Times New Roman"/>
          <w:sz w:val="20"/>
          <w:szCs w:val="20"/>
          <w:lang w:val="en-US" w:eastAsia="zh-CN"/>
        </w:rPr>
        <w:t xml:space="preserve"> for the configured MO for SCC.</w:t>
      </w:r>
    </w:p>
    <w:p w14:paraId="78BF050A">
      <w:pPr>
        <w:pageBreakBefore w:val="0"/>
        <w:widowControl/>
        <w:tabs>
          <w:tab w:val="left" w:pos="1134"/>
        </w:tabs>
        <w:kinsoku/>
        <w:wordWrap/>
        <w:topLinePunct w:val="0"/>
        <w:bidi w:val="0"/>
        <w:snapToGrid/>
        <w:spacing w:before="60" w:after="60"/>
        <w:jc w:val="both"/>
        <w:rPr>
          <w:rFonts w:hint="default" w:eastAsia="等线" w:cs="Times New Roman"/>
          <w:b/>
          <w:bCs/>
          <w:i/>
          <w:iCs/>
          <w:sz w:val="20"/>
          <w:szCs w:val="20"/>
          <w:lang w:val="en-US" w:eastAsia="zh-CN"/>
        </w:rPr>
      </w:pPr>
      <w:r>
        <w:rPr>
          <w:rFonts w:hint="eastAsia" w:eastAsia="等线" w:cs="Times New Roman"/>
          <w:b/>
          <w:bCs/>
          <w:i/>
          <w:iCs/>
          <w:sz w:val="20"/>
          <w:szCs w:val="20"/>
          <w:lang w:val="en-US" w:eastAsia="zh-CN"/>
        </w:rPr>
        <w:t>Proposal 9: Introduce a network signaling to indicate that the UE is not required to measure the neighbour cell on the configured MO for SCC. LS shall be sent to RAN2 for signaling design.</w:t>
      </w:r>
    </w:p>
    <w:p w14:paraId="48092145">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ascii="Times New Roman" w:hAnsi="Times New Roman" w:eastAsia="等线" w:cs="Times New Roman"/>
          <w:sz w:val="20"/>
          <w:szCs w:val="20"/>
          <w:lang w:val="en-US" w:eastAsia="zh-CN"/>
        </w:rPr>
      </w:pPr>
      <w:r>
        <w:rPr>
          <w:rFonts w:hint="eastAsia" w:eastAsia="等线"/>
          <w:sz w:val="20"/>
          <w:szCs w:val="20"/>
          <w:lang w:val="en-US" w:eastAsia="zh-CN"/>
        </w:rPr>
        <w:t>If neighbour cell measurement will be skipped, then t</w:t>
      </w:r>
      <w:r>
        <w:rPr>
          <w:rFonts w:hint="eastAsia" w:ascii="Times New Roman" w:hAnsi="Times New Roman" w:eastAsia="等线" w:cs="Times New Roman"/>
          <w:sz w:val="20"/>
          <w:szCs w:val="20"/>
          <w:lang w:val="en-US" w:eastAsia="zh-CN"/>
        </w:rPr>
        <w:t>he beam sweeping factor N1 and antenna array specific L1/L3 sharing factor is not needed at all, the measurement delay requirement and scheduling restriction of omni-directional antenna UE can be reused.</w:t>
      </w:r>
      <w:r>
        <w:rPr>
          <w:rFonts w:hint="eastAsia" w:eastAsia="等线" w:cs="Times New Roman"/>
          <w:sz w:val="20"/>
          <w:szCs w:val="20"/>
          <w:lang w:val="en-US" w:eastAsia="zh-CN"/>
        </w:rPr>
        <w:t xml:space="preserve"> T</w:t>
      </w:r>
      <w:r>
        <w:rPr>
          <w:rFonts w:hint="eastAsia" w:ascii="Times New Roman" w:hAnsi="Times New Roman" w:eastAsia="等线" w:cs="Times New Roman"/>
          <w:sz w:val="20"/>
          <w:szCs w:val="20"/>
          <w:lang w:val="en-US" w:eastAsia="zh-CN"/>
        </w:rPr>
        <w:t>hroughput can be increased without UE consuming additional power.</w:t>
      </w:r>
    </w:p>
    <w:p w14:paraId="49ACBBF2">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eastAsia="等线" w:cs="Times New Roman"/>
          <w:b/>
          <w:bCs/>
          <w:i/>
          <w:iCs/>
          <w:sz w:val="20"/>
          <w:szCs w:val="20"/>
          <w:lang w:val="en-US" w:eastAsia="zh-CN"/>
        </w:rPr>
      </w:pPr>
      <w:bookmarkStart w:id="8" w:name="OLE_LINK11"/>
      <w:bookmarkStart w:id="9" w:name="OLE_LINK3"/>
      <w:r>
        <w:rPr>
          <w:rFonts w:hint="eastAsia" w:eastAsia="等线" w:cs="Times New Roman"/>
          <w:b/>
          <w:bCs/>
          <w:i/>
          <w:iCs/>
          <w:sz w:val="20"/>
          <w:szCs w:val="20"/>
          <w:lang w:val="en-US" w:eastAsia="zh-CN"/>
        </w:rPr>
        <w:t>Proposal 10: From requirement point of view, if UE skip the neighbour cell measurement of SCC and/or CC with deactivated SCell, the beam sweeping factor N1 and antenna array specific L1/L3 sharing factor is not needed, the scheduling restriction caused by antenna array will not be applied.</w:t>
      </w:r>
      <w:bookmarkEnd w:id="8"/>
    </w:p>
    <w:bookmarkEnd w:id="9"/>
    <w:p w14:paraId="34D4F27E">
      <w:pPr>
        <w:rPr>
          <w:rFonts w:hint="default" w:eastAsia="Times New Roman" w:cs="Times New Roman"/>
          <w:b/>
          <w:sz w:val="21"/>
          <w:szCs w:val="21"/>
          <w:u w:val="single"/>
          <w:lang w:val="en-US" w:eastAsia="zh-CN"/>
        </w:rPr>
      </w:pPr>
    </w:p>
    <w:p w14:paraId="01E52BD0">
      <w:pPr>
        <w:keepNext w:val="0"/>
        <w:keepLines w:val="0"/>
        <w:pageBreakBefore w:val="0"/>
        <w:widowControl/>
        <w:kinsoku/>
        <w:wordWrap/>
        <w:topLinePunct w:val="0"/>
        <w:bidi w:val="0"/>
        <w:spacing w:before="60" w:after="60"/>
        <w:rPr>
          <w:rFonts w:hint="eastAsia" w:ascii="Times New Roman" w:hAnsi="Times New Roman" w:cs="Times New Roman"/>
          <w:b/>
          <w:i/>
          <w:iCs/>
          <w:color w:val="auto"/>
          <w:sz w:val="20"/>
          <w:szCs w:val="20"/>
          <w:u w:val="single"/>
          <w:lang w:val="en-US" w:eastAsia="zh-CN"/>
        </w:rPr>
      </w:pPr>
      <w:r>
        <w:rPr>
          <w:rFonts w:hint="eastAsia" w:ascii="Times New Roman" w:hAnsi="Times New Roman" w:cs="Times New Roman"/>
          <w:b/>
          <w:i/>
          <w:iCs/>
          <w:color w:val="auto"/>
          <w:sz w:val="20"/>
          <w:szCs w:val="20"/>
          <w:u w:val="single"/>
          <w:lang w:val="en-US" w:eastAsia="zh-CN"/>
        </w:rPr>
        <w:t>SCell dormancy impact on Active BWP switch delay</w:t>
      </w:r>
    </w:p>
    <w:p w14:paraId="4AEBE51A">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sz w:val="20"/>
          <w:szCs w:val="20"/>
          <w:lang w:val="en-US" w:eastAsia="zh-CN"/>
        </w:rPr>
      </w:pPr>
      <w:r>
        <w:rPr>
          <w:rFonts w:hint="eastAsia" w:eastAsia="等线"/>
          <w:sz w:val="20"/>
          <w:szCs w:val="20"/>
          <w:lang w:val="en-US" w:eastAsia="zh-CN"/>
        </w:rPr>
        <w:t>In Rel-18, the active BWP switch delay of single CC was introduced, but the SCell dormancy related requirements was precluded due to signal carrier scenario in Rel-18. Now, since CA was supported in R19, and the SCell dormancy function also supported by ATG, the related requirements shall be included in the active BWP switch delay of single CC requirements, the legacy TN requirement can be reused.</w:t>
      </w:r>
    </w:p>
    <w:p w14:paraId="7416E2C0">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cs="Times New Roman"/>
          <w:b/>
          <w:bCs/>
          <w:i/>
          <w:iCs/>
          <w:sz w:val="20"/>
          <w:szCs w:val="20"/>
          <w:lang w:val="en-US" w:eastAsia="zh-CN"/>
        </w:rPr>
      </w:pPr>
      <w:r>
        <w:rPr>
          <w:rFonts w:hint="eastAsia" w:eastAsia="等线" w:cs="Times New Roman"/>
          <w:b/>
          <w:bCs/>
          <w:i/>
          <w:iCs/>
          <w:sz w:val="20"/>
          <w:szCs w:val="20"/>
          <w:lang w:val="en-US" w:eastAsia="zh-CN"/>
        </w:rPr>
        <w:t>Proposal 11: Introduce SCell dormancy related impact for active BWP switch delay of single CC requirement. The legacy TN requirement can be reused.</w:t>
      </w:r>
    </w:p>
    <w:p w14:paraId="789DD02F">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eastAsia="等线"/>
          <w:sz w:val="20"/>
          <w:szCs w:val="20"/>
          <w:lang w:val="en-US" w:eastAsia="zh-CN"/>
        </w:rPr>
      </w:pPr>
    </w:p>
    <w:bookmarkEnd w:id="7"/>
    <w:p w14:paraId="6EDCB2F1">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3837CE61">
      <w:pPr>
        <w:spacing w:before="60"/>
        <w:rPr>
          <w:sz w:val="20"/>
          <w:szCs w:val="20"/>
        </w:rPr>
      </w:pPr>
      <w:r>
        <w:rPr>
          <w:sz w:val="20"/>
          <w:szCs w:val="20"/>
        </w:rPr>
        <w:t>In this contribution, we</w:t>
      </w:r>
      <w:r>
        <w:rPr>
          <w:rFonts w:hint="eastAsia" w:eastAsia="宋体"/>
          <w:sz w:val="20"/>
          <w:szCs w:val="20"/>
          <w:lang w:val="en-US" w:eastAsia="zh-CN"/>
        </w:rPr>
        <w:t xml:space="preserve"> further</w:t>
      </w:r>
      <w:r>
        <w:rPr>
          <w:sz w:val="20"/>
          <w:szCs w:val="20"/>
        </w:rPr>
        <w:t xml:space="preserve"> </w:t>
      </w:r>
      <w:r>
        <w:rPr>
          <w:rFonts w:hint="eastAsia" w:eastAsia="宋体"/>
          <w:sz w:val="20"/>
          <w:szCs w:val="20"/>
          <w:lang w:val="en-US" w:eastAsia="zh-CN"/>
        </w:rPr>
        <w:t>discuss the UE capability, Case#4 related issue</w:t>
      </w:r>
      <w:r>
        <w:rPr>
          <w:sz w:val="20"/>
          <w:szCs w:val="20"/>
        </w:rPr>
        <w:t xml:space="preserve"> </w:t>
      </w:r>
      <w:r>
        <w:rPr>
          <w:rFonts w:hint="eastAsia" w:eastAsia="宋体"/>
          <w:sz w:val="20"/>
          <w:szCs w:val="20"/>
          <w:lang w:val="en-US" w:eastAsia="zh-CN"/>
        </w:rPr>
        <w:t xml:space="preserve">and further enhancement </w:t>
      </w:r>
      <w:r>
        <w:rPr>
          <w:sz w:val="20"/>
          <w:szCs w:val="20"/>
        </w:rPr>
        <w:t xml:space="preserve">of ATG </w:t>
      </w:r>
      <w:r>
        <w:rPr>
          <w:rFonts w:hint="eastAsia" w:eastAsia="宋体"/>
          <w:sz w:val="20"/>
          <w:szCs w:val="20"/>
          <w:lang w:val="en-US" w:eastAsia="zh-CN"/>
        </w:rPr>
        <w:t>measurement</w:t>
      </w:r>
      <w:r>
        <w:rPr>
          <w:sz w:val="20"/>
          <w:szCs w:val="20"/>
        </w:rPr>
        <w:t xml:space="preserve">. The </w:t>
      </w:r>
      <w:r>
        <w:rPr>
          <w:rFonts w:hint="eastAsia" w:eastAsia="宋体"/>
          <w:sz w:val="20"/>
          <w:szCs w:val="20"/>
          <w:lang w:val="en-US" w:eastAsia="zh-CN"/>
        </w:rPr>
        <w:t xml:space="preserve">observation and </w:t>
      </w:r>
      <w:r>
        <w:rPr>
          <w:sz w:val="20"/>
          <w:szCs w:val="20"/>
        </w:rPr>
        <w:t>proposals are:</w:t>
      </w:r>
      <w:bookmarkEnd w:id="5"/>
      <w:bookmarkEnd w:id="6"/>
    </w:p>
    <w:p w14:paraId="3131F4E8">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lang w:val="en-US" w:eastAsia="zh-CN"/>
        </w:rPr>
      </w:pPr>
      <w:r>
        <w:rPr>
          <w:rFonts w:hint="default" w:ascii="Times New Roman" w:hAnsi="Times New Roman" w:eastAsia="等线" w:cs="Times New Roman"/>
          <w:b/>
          <w:bCs/>
          <w:i/>
          <w:iCs/>
          <w:sz w:val="20"/>
          <w:szCs w:val="20"/>
          <w:lang w:val="en-US" w:eastAsia="zh-CN"/>
        </w:rPr>
        <w:t xml:space="preserve">Proposal 1: </w:t>
      </w:r>
      <w:r>
        <w:rPr>
          <w:rFonts w:hint="eastAsia" w:eastAsia="等线" w:cs="Times New Roman"/>
          <w:b/>
          <w:bCs/>
          <w:i/>
          <w:iCs/>
          <w:sz w:val="20"/>
          <w:szCs w:val="20"/>
          <w:lang w:val="en-US" w:eastAsia="zh-CN"/>
        </w:rPr>
        <w:t>The report granularity shall be per BC.</w:t>
      </w:r>
    </w:p>
    <w:p w14:paraId="19245594">
      <w:pPr>
        <w:pageBreakBefore w:val="0"/>
        <w:widowControl/>
        <w:tabs>
          <w:tab w:val="left" w:pos="1134"/>
        </w:tabs>
        <w:kinsoku/>
        <w:wordWrap/>
        <w:topLinePunct w:val="0"/>
        <w:bidi w:val="0"/>
        <w:snapToGrid/>
        <w:spacing w:before="60" w:after="60"/>
        <w:jc w:val="both"/>
        <w:rPr>
          <w:rFonts w:hint="default" w:eastAsia="等线" w:cs="Times New Roman"/>
          <w:b/>
          <w:bCs/>
          <w:i/>
          <w:iCs/>
          <w:sz w:val="20"/>
          <w:szCs w:val="20"/>
          <w:lang w:val="en-US" w:eastAsia="zh-CN"/>
        </w:rPr>
      </w:pPr>
      <w:r>
        <w:rPr>
          <w:rFonts w:hint="default"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2</w:t>
      </w:r>
      <w:r>
        <w:rPr>
          <w:rFonts w:hint="default" w:ascii="Times New Roman" w:hAnsi="Times New Roman" w:eastAsia="等线" w:cs="Times New Roman"/>
          <w:b/>
          <w:bCs/>
          <w:i/>
          <w:iCs/>
          <w:sz w:val="20"/>
          <w:szCs w:val="20"/>
          <w:lang w:val="en-US" w:eastAsia="zh-CN"/>
        </w:rPr>
        <w:t xml:space="preserve">: </w:t>
      </w:r>
      <w:r>
        <w:rPr>
          <w:rFonts w:hint="default" w:eastAsia="等线" w:cs="Times New Roman"/>
          <w:b/>
          <w:bCs/>
          <w:i/>
          <w:iCs/>
          <w:sz w:val="20"/>
          <w:szCs w:val="20"/>
          <w:lang w:val="en-US" w:eastAsia="zh-CN"/>
        </w:rPr>
        <w:t>‘</w:t>
      </w:r>
      <w:r>
        <w:rPr>
          <w:rFonts w:hint="eastAsia" w:eastAsia="等线" w:cs="Times New Roman"/>
          <w:b/>
          <w:bCs/>
          <w:i/>
          <w:iCs/>
          <w:sz w:val="20"/>
          <w:szCs w:val="20"/>
          <w:lang w:val="en-US" w:eastAsia="zh-CN"/>
        </w:rPr>
        <w:t>No</w:t>
      </w:r>
      <w:r>
        <w:rPr>
          <w:rFonts w:hint="default" w:eastAsia="等线" w:cs="Times New Roman"/>
          <w:b/>
          <w:bCs/>
          <w:i/>
          <w:iCs/>
          <w:sz w:val="20"/>
          <w:szCs w:val="20"/>
          <w:lang w:val="en-US" w:eastAsia="zh-CN"/>
        </w:rPr>
        <w:t>’</w:t>
      </w:r>
      <w:r>
        <w:rPr>
          <w:rFonts w:hint="eastAsia" w:eastAsia="等线" w:cs="Times New Roman"/>
          <w:b/>
          <w:bCs/>
          <w:i/>
          <w:iCs/>
          <w:sz w:val="20"/>
          <w:szCs w:val="20"/>
          <w:lang w:val="en-US" w:eastAsia="zh-CN"/>
        </w:rPr>
        <w:t xml:space="preserve"> shall be indicated by UE for the field </w:t>
      </w:r>
      <w:r>
        <w:rPr>
          <w:rFonts w:hint="default" w:eastAsia="等线" w:cs="Times New Roman"/>
          <w:b/>
          <w:bCs/>
          <w:i/>
          <w:iCs/>
          <w:sz w:val="20"/>
          <w:szCs w:val="20"/>
          <w:lang w:val="en-US" w:eastAsia="zh-CN"/>
        </w:rPr>
        <w:t>‘</w:t>
      </w:r>
      <w:r>
        <w:rPr>
          <w:rFonts w:hint="eastAsia" w:eastAsia="等线" w:cs="Times New Roman"/>
          <w:b/>
          <w:bCs/>
          <w:i/>
          <w:iCs/>
          <w:sz w:val="20"/>
          <w:szCs w:val="20"/>
          <w:lang w:val="en-US" w:eastAsia="zh-CN"/>
        </w:rPr>
        <w:t>Need of FDD/TDD differentiation</w:t>
      </w:r>
      <w:r>
        <w:rPr>
          <w:rFonts w:hint="default" w:eastAsia="等线" w:cs="Times New Roman"/>
          <w:b/>
          <w:bCs/>
          <w:i/>
          <w:iCs/>
          <w:sz w:val="20"/>
          <w:szCs w:val="20"/>
          <w:lang w:val="en-US" w:eastAsia="zh-CN"/>
        </w:rPr>
        <w:t>’</w:t>
      </w:r>
      <w:r>
        <w:rPr>
          <w:rFonts w:hint="eastAsia" w:eastAsia="等线" w:cs="Times New Roman"/>
          <w:b/>
          <w:bCs/>
          <w:i/>
          <w:iCs/>
          <w:sz w:val="20"/>
          <w:szCs w:val="20"/>
          <w:lang w:val="en-US" w:eastAsia="zh-CN"/>
        </w:rPr>
        <w:t>.</w:t>
      </w:r>
    </w:p>
    <w:p w14:paraId="2D50226C">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default" w:eastAsia="Times New Roman"/>
          <w:b/>
          <w:i/>
          <w:iCs/>
          <w:sz w:val="20"/>
          <w:szCs w:val="20"/>
          <w:u w:val="none"/>
          <w:lang w:val="en-US" w:eastAsia="zh-CN"/>
        </w:rPr>
        <w:sectPr>
          <w:pgSz w:w="11906" w:h="16838"/>
          <w:pgMar w:top="1440" w:right="985" w:bottom="1440" w:left="1800" w:header="851" w:footer="992" w:gutter="0"/>
          <w:cols w:space="425" w:num="1"/>
          <w:docGrid w:type="lines" w:linePitch="312" w:charSpace="0"/>
        </w:sectPr>
      </w:pPr>
      <w:r>
        <w:rPr>
          <w:rFonts w:hint="eastAsia" w:eastAsia="Times New Roman"/>
          <w:b/>
          <w:i/>
          <w:iCs/>
          <w:sz w:val="20"/>
          <w:szCs w:val="20"/>
          <w:u w:val="none"/>
          <w:lang w:val="en-US" w:eastAsia="zh-CN"/>
        </w:rPr>
        <w:t>Proposal 3: Define the UE feature of Rx beam type as following</w:t>
      </w:r>
    </w:p>
    <w:tbl>
      <w:tblPr>
        <w:tblStyle w:val="24"/>
        <w:tblW w:w="21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738"/>
        <w:gridCol w:w="1177"/>
        <w:gridCol w:w="3331"/>
        <w:gridCol w:w="1585"/>
        <w:gridCol w:w="1261"/>
        <w:gridCol w:w="1423"/>
        <w:gridCol w:w="1547"/>
        <w:gridCol w:w="1392"/>
        <w:gridCol w:w="1115"/>
        <w:gridCol w:w="1077"/>
        <w:gridCol w:w="1516"/>
        <w:gridCol w:w="1669"/>
        <w:gridCol w:w="1954"/>
      </w:tblGrid>
      <w:tr w14:paraId="3CF1C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68" w:type="dxa"/>
            <w:shd w:val="clear" w:color="auto" w:fill="auto"/>
          </w:tcPr>
          <w:p w14:paraId="2AA1CBC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38" w:type="dxa"/>
            <w:shd w:val="clear" w:color="auto" w:fill="auto"/>
          </w:tcPr>
          <w:p w14:paraId="3A2FDC1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177" w:type="dxa"/>
            <w:shd w:val="clear" w:color="auto" w:fill="auto"/>
          </w:tcPr>
          <w:p w14:paraId="3A41C94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331" w:type="dxa"/>
            <w:shd w:val="clear" w:color="auto" w:fill="auto"/>
          </w:tcPr>
          <w:p w14:paraId="54BA15AE">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7BC286AB">
            <w:pPr>
              <w:keepNext/>
              <w:keepLines/>
              <w:overflowPunct w:val="0"/>
              <w:autoSpaceDE w:val="0"/>
              <w:autoSpaceDN w:val="0"/>
              <w:adjustRightInd w:val="0"/>
              <w:jc w:val="center"/>
              <w:textAlignment w:val="baseline"/>
              <w:rPr>
                <w:rFonts w:ascii="Arial" w:hAnsi="Arial" w:cs="Arial"/>
                <w:b/>
                <w:sz w:val="18"/>
              </w:rPr>
            </w:pPr>
          </w:p>
        </w:tc>
        <w:tc>
          <w:tcPr>
            <w:tcW w:w="1585" w:type="dxa"/>
            <w:shd w:val="clear" w:color="auto" w:fill="auto"/>
          </w:tcPr>
          <w:p w14:paraId="3CCF9FE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261" w:type="dxa"/>
            <w:shd w:val="clear" w:color="auto" w:fill="auto"/>
          </w:tcPr>
          <w:p w14:paraId="1374F9A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23" w:type="dxa"/>
            <w:shd w:val="clear" w:color="auto" w:fill="auto"/>
          </w:tcPr>
          <w:p w14:paraId="750F40EA">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547" w:type="dxa"/>
          </w:tcPr>
          <w:p w14:paraId="584EDBA9">
            <w:pPr>
              <w:keepNext/>
              <w:keepLines/>
              <w:rPr>
                <w:rFonts w:ascii="Arial" w:hAnsi="Arial" w:cs="Arial"/>
                <w:b/>
                <w:sz w:val="18"/>
              </w:rPr>
            </w:pPr>
            <w:r>
              <w:rPr>
                <w:rFonts w:ascii="Arial" w:hAnsi="Arial" w:cs="Arial"/>
                <w:b/>
                <w:sz w:val="18"/>
              </w:rPr>
              <w:t>Consequence if the feature is not supported by the UE</w:t>
            </w:r>
          </w:p>
        </w:tc>
        <w:tc>
          <w:tcPr>
            <w:tcW w:w="1392" w:type="dxa"/>
            <w:shd w:val="clear" w:color="auto" w:fill="auto"/>
          </w:tcPr>
          <w:p w14:paraId="042C9D55">
            <w:pPr>
              <w:keepNext/>
              <w:keepLines/>
              <w:rPr>
                <w:rFonts w:ascii="Arial" w:hAnsi="Arial" w:cs="Arial"/>
                <w:b/>
                <w:sz w:val="18"/>
              </w:rPr>
            </w:pPr>
            <w:r>
              <w:rPr>
                <w:rFonts w:ascii="Arial" w:hAnsi="Arial" w:cs="Arial"/>
                <w:b/>
                <w:sz w:val="18"/>
              </w:rPr>
              <w:t>Type</w:t>
            </w:r>
          </w:p>
          <w:p w14:paraId="3DC92FF2">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115" w:type="dxa"/>
            <w:shd w:val="clear" w:color="auto" w:fill="auto"/>
          </w:tcPr>
          <w:p w14:paraId="574DEAAD">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077" w:type="dxa"/>
            <w:shd w:val="clear" w:color="auto" w:fill="auto"/>
          </w:tcPr>
          <w:p w14:paraId="0235C990">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516" w:type="dxa"/>
          </w:tcPr>
          <w:p w14:paraId="131B4339">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669" w:type="dxa"/>
            <w:shd w:val="clear" w:color="auto" w:fill="auto"/>
          </w:tcPr>
          <w:p w14:paraId="015F0E3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54" w:type="dxa"/>
            <w:shd w:val="clear" w:color="auto" w:fill="auto"/>
          </w:tcPr>
          <w:p w14:paraId="7578091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42116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68" w:type="dxa"/>
            <w:shd w:val="clear" w:color="auto" w:fill="auto"/>
          </w:tcPr>
          <w:p w14:paraId="614EAECC">
            <w:pPr>
              <w:keepNext/>
              <w:keepLines/>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eastAsiaTheme="minorEastAsia"/>
                <w:sz w:val="18"/>
                <w:szCs w:val="18"/>
              </w:rPr>
              <w:t xml:space="preserve">50. </w:t>
            </w:r>
            <w:r>
              <w:rPr>
                <w:rFonts w:ascii="Arial" w:hAnsi="Arial" w:cs="Arial" w:eastAsiaTheme="minorEastAsia"/>
                <w:sz w:val="18"/>
                <w:szCs w:val="18"/>
              </w:rPr>
              <w:t>NR_ATG_enh</w:t>
            </w:r>
          </w:p>
          <w:p w14:paraId="21213F2C">
            <w:pPr>
              <w:keepNext/>
              <w:keepLines/>
              <w:overflowPunct w:val="0"/>
              <w:autoSpaceDE w:val="0"/>
              <w:autoSpaceDN w:val="0"/>
              <w:adjustRightInd w:val="0"/>
              <w:textAlignment w:val="baseline"/>
              <w:rPr>
                <w:rFonts w:ascii="Arial" w:hAnsi="Arial" w:cs="Arial" w:eastAsiaTheme="minorEastAsia"/>
                <w:sz w:val="18"/>
                <w:szCs w:val="18"/>
              </w:rPr>
            </w:pPr>
          </w:p>
        </w:tc>
        <w:tc>
          <w:tcPr>
            <w:tcW w:w="738" w:type="dxa"/>
            <w:shd w:val="clear" w:color="auto" w:fill="auto"/>
          </w:tcPr>
          <w:p w14:paraId="5EB29801">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50-1</w:t>
            </w:r>
          </w:p>
        </w:tc>
        <w:tc>
          <w:tcPr>
            <w:tcW w:w="1177" w:type="dxa"/>
            <w:shd w:val="clear" w:color="auto" w:fill="auto"/>
          </w:tcPr>
          <w:p w14:paraId="1D1D3B06">
            <w:pPr>
              <w:keepNext/>
              <w:keepLines/>
              <w:overflowPunct w:val="0"/>
              <w:autoSpaceDE w:val="0"/>
              <w:autoSpaceDN w:val="0"/>
              <w:adjustRightInd w:val="0"/>
              <w:textAlignment w:val="baseline"/>
              <w:rPr>
                <w:rFonts w:ascii="Arial" w:hAnsi="Arial" w:cs="Arial"/>
                <w:sz w:val="18"/>
              </w:rPr>
            </w:pPr>
            <w:r>
              <w:rPr>
                <w:rFonts w:hint="default" w:ascii="Arial" w:hAnsi="Arial" w:cs="Arial" w:eastAsiaTheme="minorEastAsia"/>
                <w:sz w:val="18"/>
                <w:szCs w:val="18"/>
                <w:lang w:val="en-US" w:eastAsia="zh-CN"/>
              </w:rPr>
              <w:t>common Rx beam</w:t>
            </w:r>
          </w:p>
        </w:tc>
        <w:tc>
          <w:tcPr>
            <w:tcW w:w="3331" w:type="dxa"/>
            <w:shd w:val="clear" w:color="auto" w:fill="auto"/>
          </w:tcPr>
          <w:p w14:paraId="39B18A5F">
            <w:pPr>
              <w:keepNext/>
              <w:keepLines/>
              <w:overflowPunct w:val="0"/>
              <w:autoSpaceDE w:val="0"/>
              <w:autoSpaceDN w:val="0"/>
              <w:adjustRightInd w:val="0"/>
              <w:textAlignment w:val="baseline"/>
              <w:rPr>
                <w:rFonts w:ascii="Arial" w:hAnsi="Arial" w:cs="Arial"/>
                <w:sz w:val="18"/>
              </w:rPr>
            </w:pPr>
            <w:r>
              <w:rPr>
                <w:rFonts w:hint="eastAsia" w:ascii="Arial" w:hAnsi="Arial" w:cs="Arial"/>
                <w:sz w:val="18"/>
              </w:rPr>
              <w:t>Indicates whether the UE supports one common Rx beam when UE capable of antennaArrayType-r18 on both PCC and SCC. If the field is absent, UE supports two simultaneous separate Rx beams when UE capable of antennaArrayType-r18 on both PCC and SCC.</w:t>
            </w:r>
          </w:p>
        </w:tc>
        <w:tc>
          <w:tcPr>
            <w:tcW w:w="1585" w:type="dxa"/>
            <w:shd w:val="clear" w:color="auto" w:fill="auto"/>
          </w:tcPr>
          <w:p w14:paraId="3557088E">
            <w:pPr>
              <w:keepNext/>
              <w:keepLines/>
              <w:overflowPunct w:val="0"/>
              <w:autoSpaceDE w:val="0"/>
              <w:autoSpaceDN w:val="0"/>
              <w:adjustRightInd w:val="0"/>
              <w:jc w:val="center"/>
              <w:textAlignment w:val="baseline"/>
              <w:rPr>
                <w:rFonts w:ascii="Arial" w:hAnsi="Arial" w:eastAsia="Times New Roman" w:cs="Arial"/>
                <w:b/>
                <w:sz w:val="18"/>
              </w:rPr>
            </w:pPr>
          </w:p>
        </w:tc>
        <w:tc>
          <w:tcPr>
            <w:tcW w:w="1261" w:type="dxa"/>
            <w:shd w:val="clear" w:color="auto" w:fill="auto"/>
          </w:tcPr>
          <w:p w14:paraId="5FFA1C67">
            <w:pPr>
              <w:keepNext/>
              <w:keepLines/>
              <w:overflowPunct w:val="0"/>
              <w:autoSpaceDE w:val="0"/>
              <w:autoSpaceDN w:val="0"/>
              <w:adjustRightInd w:val="0"/>
              <w:jc w:val="center"/>
              <w:textAlignment w:val="baseline"/>
              <w:rPr>
                <w:rFonts w:hint="default" w:ascii="Arial" w:hAnsi="Arial" w:eastAsia="宋体" w:cs="Arial"/>
                <w:sz w:val="18"/>
                <w:lang w:val="en-US" w:eastAsia="zh-CN"/>
              </w:rPr>
            </w:pPr>
            <w:r>
              <w:rPr>
                <w:rFonts w:hint="eastAsia" w:ascii="Arial" w:hAnsi="Arial" w:eastAsia="宋体" w:cs="Arial"/>
                <w:sz w:val="18"/>
                <w:lang w:val="en-US" w:eastAsia="zh-CN"/>
              </w:rPr>
              <w:t>yes</w:t>
            </w:r>
          </w:p>
        </w:tc>
        <w:tc>
          <w:tcPr>
            <w:tcW w:w="1423" w:type="dxa"/>
            <w:shd w:val="clear" w:color="auto" w:fill="auto"/>
          </w:tcPr>
          <w:p w14:paraId="7F73284B">
            <w:pPr>
              <w:keepNext/>
              <w:keepLines/>
              <w:overflowPunct w:val="0"/>
              <w:autoSpaceDE w:val="0"/>
              <w:autoSpaceDN w:val="0"/>
              <w:adjustRightInd w:val="0"/>
              <w:jc w:val="center"/>
              <w:textAlignment w:val="baseline"/>
              <w:rPr>
                <w:rFonts w:hint="default" w:ascii="Arial" w:hAnsi="Arial" w:eastAsia="宋体" w:cs="Arial"/>
                <w:b/>
                <w:sz w:val="18"/>
                <w:lang w:val="en-US" w:eastAsia="zh-CN"/>
              </w:rPr>
            </w:pPr>
            <w:r>
              <w:rPr>
                <w:rFonts w:hint="eastAsia" w:ascii="Arial" w:hAnsi="Arial" w:eastAsia="宋体" w:cs="Arial"/>
                <w:sz w:val="18"/>
                <w:lang w:val="en-US" w:eastAsia="zh-CN"/>
              </w:rPr>
              <w:t>N/A</w:t>
            </w:r>
          </w:p>
        </w:tc>
        <w:tc>
          <w:tcPr>
            <w:tcW w:w="1547" w:type="dxa"/>
          </w:tcPr>
          <w:p w14:paraId="20CCAB33">
            <w:pPr>
              <w:keepNext/>
              <w:keepLines/>
              <w:rPr>
                <w:rFonts w:ascii="Arial" w:hAnsi="Arial" w:cs="Arial"/>
                <w:sz w:val="18"/>
              </w:rPr>
            </w:pPr>
            <w:r>
              <w:rPr>
                <w:rFonts w:ascii="Arial" w:hAnsi="Arial" w:cs="Arial"/>
                <w:sz w:val="18"/>
                <w:szCs w:val="18"/>
              </w:rPr>
              <w:t xml:space="preserve">If UE does not support the capability, network does not know ATG UE’s </w:t>
            </w:r>
            <w:r>
              <w:rPr>
                <w:rFonts w:hint="eastAsia" w:ascii="Arial" w:hAnsi="Arial" w:eastAsia="宋体" w:cs="Arial"/>
                <w:sz w:val="18"/>
                <w:szCs w:val="18"/>
                <w:lang w:val="en-US" w:eastAsia="zh-CN"/>
              </w:rPr>
              <w:t>reception capability</w:t>
            </w:r>
            <w:r>
              <w:rPr>
                <w:rFonts w:ascii="Arial" w:hAnsi="Arial" w:cs="Arial"/>
                <w:sz w:val="18"/>
                <w:szCs w:val="18"/>
              </w:rPr>
              <w:t>.</w:t>
            </w:r>
          </w:p>
        </w:tc>
        <w:tc>
          <w:tcPr>
            <w:tcW w:w="1392" w:type="dxa"/>
            <w:shd w:val="clear" w:color="auto" w:fill="auto"/>
          </w:tcPr>
          <w:p w14:paraId="15A74DFB">
            <w:pPr>
              <w:keepNext/>
              <w:keepLines/>
              <w:rPr>
                <w:rFonts w:hint="default" w:ascii="Arial" w:hAnsi="Arial" w:eastAsia="宋体" w:cs="Arial"/>
                <w:sz w:val="18"/>
                <w:lang w:val="en-US" w:eastAsia="zh-CN"/>
              </w:rPr>
            </w:pPr>
            <w:r>
              <w:rPr>
                <w:rFonts w:hint="eastAsia" w:ascii="Arial" w:hAnsi="Arial" w:eastAsia="宋体" w:cs="Arial"/>
                <w:sz w:val="18"/>
                <w:lang w:val="en-US" w:eastAsia="zh-CN"/>
              </w:rPr>
              <w:t>Per BC</w:t>
            </w:r>
          </w:p>
        </w:tc>
        <w:tc>
          <w:tcPr>
            <w:tcW w:w="1115" w:type="dxa"/>
            <w:shd w:val="clear" w:color="auto" w:fill="auto"/>
          </w:tcPr>
          <w:p w14:paraId="7441FB12">
            <w:pPr>
              <w:keepNext/>
              <w:keepLines/>
              <w:overflowPunct w:val="0"/>
              <w:autoSpaceDE w:val="0"/>
              <w:autoSpaceDN w:val="0"/>
              <w:adjustRightInd w:val="0"/>
              <w:jc w:val="center"/>
              <w:textAlignment w:val="baseline"/>
              <w:rPr>
                <w:rFonts w:hint="default" w:ascii="Arial" w:hAnsi="Arial" w:eastAsia="宋体" w:cs="Arial"/>
                <w:sz w:val="18"/>
                <w:lang w:val="en-US" w:eastAsia="zh-CN"/>
              </w:rPr>
            </w:pPr>
            <w:r>
              <w:rPr>
                <w:rFonts w:hint="eastAsia" w:ascii="Arial" w:hAnsi="Arial" w:eastAsia="宋体" w:cs="Arial"/>
                <w:sz w:val="18"/>
                <w:lang w:val="en-US" w:eastAsia="zh-CN"/>
              </w:rPr>
              <w:t>No</w:t>
            </w:r>
          </w:p>
        </w:tc>
        <w:tc>
          <w:tcPr>
            <w:tcW w:w="1077" w:type="dxa"/>
            <w:shd w:val="clear" w:color="auto" w:fill="auto"/>
          </w:tcPr>
          <w:p w14:paraId="64A8DAE2">
            <w:pPr>
              <w:keepNext/>
              <w:keepLines/>
              <w:overflowPunct w:val="0"/>
              <w:autoSpaceDE w:val="0"/>
              <w:autoSpaceDN w:val="0"/>
              <w:adjustRightInd w:val="0"/>
              <w:jc w:val="center"/>
              <w:textAlignment w:val="baseline"/>
              <w:rPr>
                <w:rFonts w:hint="default" w:ascii="Arial" w:hAnsi="Arial" w:eastAsia="宋体" w:cs="Arial"/>
                <w:sz w:val="18"/>
                <w:lang w:val="en-US" w:eastAsia="zh-CN"/>
              </w:rPr>
            </w:pPr>
            <w:r>
              <w:rPr>
                <w:rFonts w:hint="eastAsia" w:ascii="Arial" w:hAnsi="Arial" w:eastAsia="宋体" w:cs="Arial"/>
                <w:sz w:val="18"/>
                <w:lang w:val="en-US" w:eastAsia="zh-CN"/>
              </w:rPr>
              <w:t>FR1 only</w:t>
            </w:r>
          </w:p>
        </w:tc>
        <w:tc>
          <w:tcPr>
            <w:tcW w:w="1516" w:type="dxa"/>
          </w:tcPr>
          <w:p w14:paraId="2374C3C7">
            <w:pPr>
              <w:keepNext/>
              <w:keepLines/>
              <w:overflowPunct w:val="0"/>
              <w:autoSpaceDE w:val="0"/>
              <w:autoSpaceDN w:val="0"/>
              <w:adjustRightInd w:val="0"/>
              <w:jc w:val="center"/>
              <w:textAlignment w:val="baseline"/>
              <w:rPr>
                <w:rFonts w:hint="default" w:ascii="Arial" w:hAnsi="Arial" w:eastAsia="宋体" w:cs="Arial"/>
                <w:b/>
                <w:sz w:val="18"/>
                <w:lang w:val="en-US" w:eastAsia="zh-CN"/>
              </w:rPr>
            </w:pPr>
            <w:r>
              <w:rPr>
                <w:rFonts w:hint="eastAsia" w:ascii="Arial" w:hAnsi="Arial" w:eastAsia="宋体" w:cs="Arial"/>
                <w:sz w:val="18"/>
                <w:lang w:val="en-US" w:eastAsia="zh-CN"/>
              </w:rPr>
              <w:t>N/A</w:t>
            </w:r>
          </w:p>
        </w:tc>
        <w:tc>
          <w:tcPr>
            <w:tcW w:w="1669" w:type="dxa"/>
            <w:shd w:val="clear" w:color="auto" w:fill="auto"/>
          </w:tcPr>
          <w:p w14:paraId="45964116">
            <w:pPr>
              <w:keepNext/>
              <w:keepLines/>
              <w:overflowPunct w:val="0"/>
              <w:autoSpaceDE w:val="0"/>
              <w:autoSpaceDN w:val="0"/>
              <w:adjustRightInd w:val="0"/>
              <w:jc w:val="center"/>
              <w:textAlignment w:val="baseline"/>
              <w:rPr>
                <w:rFonts w:hint="default" w:ascii="Arial" w:hAnsi="Arial" w:eastAsia="Times New Roman" w:cs="Arial"/>
                <w:b/>
                <w:sz w:val="18"/>
                <w:lang w:val="en-US"/>
              </w:rPr>
            </w:pPr>
            <w:r>
              <w:rPr>
                <w:rFonts w:hint="eastAsia" w:ascii="Arial" w:hAnsi="Arial" w:eastAsia="宋体" w:cs="Arial"/>
                <w:sz w:val="18"/>
                <w:lang w:val="en-US" w:eastAsia="zh-CN"/>
              </w:rPr>
              <w:t>This UE feature is applicable only for inter-band CA band combination(s) in Table [TBD] in TS 38.101-1.</w:t>
            </w:r>
          </w:p>
        </w:tc>
        <w:tc>
          <w:tcPr>
            <w:tcW w:w="1954" w:type="dxa"/>
            <w:shd w:val="clear" w:color="auto" w:fill="auto"/>
          </w:tcPr>
          <w:p w14:paraId="3A2B64D8">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Conditional mandatory for UEs supporting antennaArrayType-r18 on each band of the supported Band combination</w:t>
            </w:r>
          </w:p>
        </w:tc>
      </w:tr>
    </w:tbl>
    <w:p w14:paraId="7DE93460">
      <w:pPr>
        <w:spacing w:before="60"/>
        <w:rPr>
          <w:sz w:val="20"/>
          <w:szCs w:val="20"/>
        </w:rPr>
        <w:sectPr>
          <w:pgSz w:w="23811" w:h="16838" w:orient="landscape"/>
          <w:pgMar w:top="1803" w:right="1440" w:bottom="986" w:left="1440" w:header="851" w:footer="992" w:gutter="0"/>
          <w:cols w:space="0" w:num="1"/>
          <w:rtlGutter w:val="0"/>
          <w:docGrid w:type="lines" w:linePitch="334" w:charSpace="0"/>
        </w:sectPr>
      </w:pPr>
    </w:p>
    <w:p w14:paraId="3FCA6B82">
      <w:pPr>
        <w:pageBreakBefore w:val="0"/>
        <w:widowControl/>
        <w:tabs>
          <w:tab w:val="left" w:pos="1134"/>
        </w:tabs>
        <w:kinsoku/>
        <w:wordWrap/>
        <w:topLinePunct w:val="0"/>
        <w:bidi w:val="0"/>
        <w:snapToGrid/>
        <w:spacing w:before="60" w:after="60"/>
        <w:jc w:val="both"/>
        <w:rPr>
          <w:rFonts w:hint="eastAsia" w:ascii="Times New Roman" w:hAnsi="Times New Roman" w:eastAsia="宋体" w:cs="Times New Roman"/>
          <w:color w:val="auto"/>
          <w:sz w:val="20"/>
          <w:szCs w:val="20"/>
          <w:lang w:val="en-US" w:eastAsia="zh-CN"/>
        </w:rPr>
      </w:pPr>
      <w:r>
        <w:rPr>
          <w:rFonts w:hint="default"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4</w:t>
      </w:r>
      <w:r>
        <w:rPr>
          <w:rFonts w:hint="default"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Regardless UE Rx beam type, if the active serving cell and the SCell being added/released or activated/de-activated are in a FR1 band pair, the interruption requirement for inter-band CA shall be used.</w:t>
      </w:r>
    </w:p>
    <w:p w14:paraId="68D63DA1">
      <w:pPr>
        <w:pageBreakBefore w:val="0"/>
        <w:widowControl/>
        <w:tabs>
          <w:tab w:val="left" w:pos="1134"/>
        </w:tabs>
        <w:kinsoku/>
        <w:wordWrap/>
        <w:topLinePunct w:val="0"/>
        <w:bidi w:val="0"/>
        <w:snapToGrid/>
        <w:spacing w:before="60" w:after="60"/>
        <w:jc w:val="both"/>
        <w:rPr>
          <w:rFonts w:hint="eastAsia" w:eastAsia="等线" w:cs="Times New Roman"/>
          <w:sz w:val="20"/>
          <w:szCs w:val="20"/>
          <w:lang w:val="en-US" w:eastAsia="zh-CN"/>
        </w:rPr>
      </w:pPr>
      <w:r>
        <w:rPr>
          <w:rFonts w:hint="default"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5</w:t>
      </w:r>
      <w:r>
        <w:rPr>
          <w:rFonts w:hint="default"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Reuse the legacy SCell activation delay requirement for ATG.</w:t>
      </w:r>
    </w:p>
    <w:p w14:paraId="53143D1B">
      <w:pPr>
        <w:pageBreakBefore w:val="0"/>
        <w:widowControl/>
        <w:tabs>
          <w:tab w:val="left" w:pos="1134"/>
        </w:tabs>
        <w:kinsoku/>
        <w:wordWrap/>
        <w:topLinePunct w:val="0"/>
        <w:bidi w:val="0"/>
        <w:snapToGrid/>
        <w:spacing w:before="60" w:after="60"/>
        <w:jc w:val="both"/>
        <w:rPr>
          <w:rFonts w:hint="eastAsia" w:eastAsia="宋体" w:cs="Times New Roman"/>
          <w:b/>
          <w:bCs/>
          <w:i/>
          <w:iCs/>
          <w:sz w:val="20"/>
          <w:szCs w:val="20"/>
          <w:lang w:val="en-US" w:eastAsia="zh-CN"/>
        </w:rPr>
      </w:pPr>
      <w:r>
        <w:rPr>
          <w:rFonts w:hint="eastAsia" w:eastAsia="等线" w:cs="Times New Roman"/>
          <w:b/>
          <w:bCs/>
          <w:i/>
          <w:iCs/>
          <w:sz w:val="20"/>
          <w:szCs w:val="20"/>
          <w:lang w:val="en-US" w:eastAsia="zh-CN"/>
        </w:rPr>
        <w:t xml:space="preserve">Proposal 6: Firstly align the understanding about the reference timing of SSB symbols and the RSSI symbols in the definition of </w:t>
      </w:r>
      <w:r>
        <w:rPr>
          <w:rFonts w:hint="default" w:ascii="Times New Roman" w:hAnsi="Times New Roman" w:cs="Times New Roman"/>
          <w:b/>
          <w:bCs/>
          <w:i/>
          <w:iCs/>
          <w:color w:val="auto"/>
          <w:sz w:val="20"/>
          <w:szCs w:val="20"/>
        </w:rPr>
        <w:t>K</w:t>
      </w:r>
      <w:r>
        <w:rPr>
          <w:rFonts w:hint="default" w:ascii="Times New Roman" w:hAnsi="Times New Roman" w:cs="Times New Roman"/>
          <w:b/>
          <w:bCs/>
          <w:i/>
          <w:iCs/>
          <w:color w:val="auto"/>
          <w:sz w:val="20"/>
          <w:szCs w:val="20"/>
          <w:vertAlign w:val="subscript"/>
        </w:rPr>
        <w:t>layer1_measurement</w:t>
      </w:r>
      <w:r>
        <w:rPr>
          <w:rFonts w:hint="eastAsia" w:eastAsia="宋体" w:cs="Times New Roman"/>
          <w:b/>
          <w:bCs/>
          <w:i/>
          <w:iCs/>
          <w:color w:val="auto"/>
          <w:sz w:val="20"/>
          <w:szCs w:val="20"/>
          <w:vertAlign w:val="baseline"/>
          <w:lang w:val="en-US" w:eastAsia="zh-CN"/>
        </w:rPr>
        <w:t>.</w:t>
      </w:r>
    </w:p>
    <w:p w14:paraId="7B637D06">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lang w:val="en-US" w:eastAsia="zh-CN"/>
        </w:rPr>
      </w:pPr>
      <w:r>
        <w:rPr>
          <w:rFonts w:hint="eastAsia" w:eastAsia="等线" w:cs="Times New Roman"/>
          <w:b/>
          <w:bCs/>
          <w:i/>
          <w:iCs/>
          <w:sz w:val="20"/>
          <w:szCs w:val="20"/>
          <w:lang w:val="en-US" w:eastAsia="zh-CN"/>
        </w:rPr>
        <w:t>Proposal 7: If the serving cell timing is used as the reference timing of SSB symbols and the RSSI symbols, then extend the margin considering the maximum propagation delay difference between serving cell and neighbour cells.</w:t>
      </w:r>
    </w:p>
    <w:p w14:paraId="79AF6F23">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lang w:val="en-US" w:eastAsia="zh-CN"/>
        </w:rPr>
      </w:pPr>
      <w:r>
        <w:rPr>
          <w:rFonts w:hint="eastAsia" w:eastAsia="等线" w:cs="Times New Roman"/>
          <w:b/>
          <w:bCs/>
          <w:i/>
          <w:iCs/>
          <w:sz w:val="20"/>
          <w:szCs w:val="20"/>
          <w:lang w:val="en-US" w:eastAsia="zh-CN"/>
        </w:rPr>
        <w:t>Proposal 8: If the neighbour cell timing is used as the reference timing of SSB symbols and the RSSI symbols, then reuse the legacy 1 symbol margin.</w:t>
      </w:r>
    </w:p>
    <w:p w14:paraId="34F6C0CC">
      <w:pPr>
        <w:pageBreakBefore w:val="0"/>
        <w:widowControl/>
        <w:tabs>
          <w:tab w:val="left" w:pos="1134"/>
        </w:tabs>
        <w:kinsoku/>
        <w:wordWrap/>
        <w:topLinePunct w:val="0"/>
        <w:bidi w:val="0"/>
        <w:snapToGrid/>
        <w:spacing w:before="60" w:after="60"/>
        <w:jc w:val="both"/>
        <w:rPr>
          <w:rFonts w:hint="default" w:eastAsia="等线" w:cs="Times New Roman"/>
          <w:b/>
          <w:bCs/>
          <w:i/>
          <w:iCs/>
          <w:sz w:val="20"/>
          <w:szCs w:val="20"/>
          <w:lang w:val="en-US" w:eastAsia="zh-CN"/>
        </w:rPr>
      </w:pPr>
      <w:r>
        <w:rPr>
          <w:rFonts w:hint="eastAsia" w:eastAsia="等线" w:cs="Times New Roman"/>
          <w:b/>
          <w:bCs/>
          <w:i/>
          <w:iCs/>
          <w:sz w:val="20"/>
          <w:szCs w:val="20"/>
          <w:lang w:val="en-US" w:eastAsia="zh-CN"/>
        </w:rPr>
        <w:t xml:space="preserve">Observation 1: The existing network configuration can not achieve the functionality that UE only </w:t>
      </w:r>
      <w:r>
        <w:rPr>
          <w:rFonts w:hint="default" w:eastAsia="等线" w:cs="Times New Roman"/>
          <w:b/>
          <w:bCs/>
          <w:i/>
          <w:iCs/>
          <w:sz w:val="20"/>
          <w:szCs w:val="20"/>
          <w:lang w:val="en-US" w:eastAsia="zh-CN"/>
        </w:rPr>
        <w:t>skip the neighbour cell measurement of {SCC and/or CC with deactivated SCell}</w:t>
      </w:r>
      <w:r>
        <w:rPr>
          <w:rFonts w:hint="eastAsia" w:eastAsia="等线" w:cs="Times New Roman"/>
          <w:b/>
          <w:bCs/>
          <w:i/>
          <w:iCs/>
          <w:sz w:val="20"/>
          <w:szCs w:val="20"/>
          <w:lang w:val="en-US" w:eastAsia="zh-CN"/>
        </w:rPr>
        <w:t>.</w:t>
      </w:r>
    </w:p>
    <w:p w14:paraId="7CE0C94A">
      <w:pPr>
        <w:pageBreakBefore w:val="0"/>
        <w:widowControl/>
        <w:tabs>
          <w:tab w:val="left" w:pos="1134"/>
        </w:tabs>
        <w:kinsoku/>
        <w:wordWrap/>
        <w:topLinePunct w:val="0"/>
        <w:bidi w:val="0"/>
        <w:snapToGrid/>
        <w:spacing w:before="60" w:after="60"/>
        <w:jc w:val="both"/>
        <w:rPr>
          <w:rFonts w:hint="default" w:eastAsia="等线" w:cs="Times New Roman"/>
          <w:b/>
          <w:bCs/>
          <w:i/>
          <w:iCs/>
          <w:sz w:val="20"/>
          <w:szCs w:val="20"/>
          <w:lang w:val="en-US" w:eastAsia="zh-CN"/>
        </w:rPr>
      </w:pPr>
      <w:r>
        <w:rPr>
          <w:rFonts w:hint="eastAsia" w:eastAsia="等线" w:cs="Times New Roman"/>
          <w:b/>
          <w:bCs/>
          <w:i/>
          <w:iCs/>
          <w:sz w:val="20"/>
          <w:szCs w:val="20"/>
          <w:lang w:val="en-US" w:eastAsia="zh-CN"/>
        </w:rPr>
        <w:t>Proposal 9: Introduce a network signaling to indicate that the UE is not required to measure the neighbour cell on the configured MO for SCC. LS shall be sent to RAN2 for signaling design.</w:t>
      </w:r>
    </w:p>
    <w:p w14:paraId="48ED5CED">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eastAsia="等线" w:cs="Times New Roman"/>
          <w:b/>
          <w:bCs/>
          <w:i/>
          <w:iCs/>
          <w:sz w:val="20"/>
          <w:szCs w:val="20"/>
          <w:lang w:val="en-US" w:eastAsia="zh-CN"/>
        </w:rPr>
      </w:pPr>
      <w:r>
        <w:rPr>
          <w:rFonts w:hint="eastAsia" w:eastAsia="等线" w:cs="Times New Roman"/>
          <w:b/>
          <w:bCs/>
          <w:i/>
          <w:iCs/>
          <w:sz w:val="20"/>
          <w:szCs w:val="20"/>
          <w:lang w:val="en-US" w:eastAsia="zh-CN"/>
        </w:rPr>
        <w:t>Proposal 10: From requirement point of view, if UE skip the neighbour cell measurement of SCC and/or CC with deactivated SCell, the beam sweeping factor N1 and antenna array specific L1/L3 sharing factor is not needed, the scheduling restriction caused by antenna array will not be applied.</w:t>
      </w:r>
    </w:p>
    <w:p w14:paraId="6AEEE3F5">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sz w:val="20"/>
          <w:szCs w:val="20"/>
        </w:rPr>
      </w:pPr>
      <w:r>
        <w:rPr>
          <w:rFonts w:hint="eastAsia" w:eastAsia="等线" w:cs="Times New Roman"/>
          <w:b/>
          <w:bCs/>
          <w:i/>
          <w:iCs/>
          <w:sz w:val="20"/>
          <w:szCs w:val="20"/>
          <w:lang w:val="en-US" w:eastAsia="zh-CN"/>
        </w:rPr>
        <w:t>Proposal 11: Introduce SCell dormancy related impact for active BWP switch delay of single CC requirement. The legacy TN requirement can be reused.</w:t>
      </w:r>
    </w:p>
    <w:p w14:paraId="23AE9C11">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B00858F">
      <w:pPr>
        <w:numPr>
          <w:ilvl w:val="0"/>
          <w:numId w:val="7"/>
        </w:numPr>
        <w:rPr>
          <w:rFonts w:eastAsiaTheme="minorEastAsia"/>
          <w:sz w:val="20"/>
          <w:szCs w:val="20"/>
          <w:lang w:val="en-GB"/>
        </w:rPr>
      </w:pPr>
      <w:r>
        <w:rPr>
          <w:rFonts w:hint="eastAsia" w:eastAsiaTheme="minorEastAsia"/>
          <w:sz w:val="20"/>
          <w:szCs w:val="20"/>
          <w:lang w:val="en-GB"/>
        </w:rPr>
        <w:t>R4-2</w:t>
      </w:r>
      <w:r>
        <w:rPr>
          <w:rFonts w:hint="eastAsia" w:eastAsiaTheme="minorEastAsia"/>
          <w:sz w:val="20"/>
          <w:szCs w:val="20"/>
          <w:lang w:val="en-US" w:eastAsia="zh-CN"/>
        </w:rPr>
        <w:t>504898</w:t>
      </w:r>
      <w:r>
        <w:rPr>
          <w:rFonts w:eastAsiaTheme="minorEastAsia"/>
          <w:sz w:val="20"/>
          <w:szCs w:val="20"/>
          <w:lang w:val="en-GB"/>
        </w:rPr>
        <w:t xml:space="preserve">, </w:t>
      </w:r>
      <w:r>
        <w:rPr>
          <w:rFonts w:hint="eastAsia" w:eastAsiaTheme="minorEastAsia"/>
          <w:sz w:val="20"/>
          <w:szCs w:val="20"/>
          <w:lang w:val="en-GB"/>
        </w:rPr>
        <w:t>WF on RRM requirements for NR_ATG_enh</w:t>
      </w:r>
      <w:r>
        <w:rPr>
          <w:rFonts w:eastAsiaTheme="minorEastAsia"/>
          <w:sz w:val="20"/>
          <w:szCs w:val="20"/>
          <w:lang w:val="en-GB"/>
        </w:rPr>
        <w:t xml:space="preserve">, </w:t>
      </w:r>
      <w:r>
        <w:rPr>
          <w:rFonts w:hint="eastAsia" w:eastAsiaTheme="minorEastAsia"/>
          <w:sz w:val="20"/>
          <w:szCs w:val="20"/>
          <w:lang w:val="en-GB"/>
        </w:rPr>
        <w:t>CMCC</w:t>
      </w:r>
    </w:p>
    <w:sectPr>
      <w:pgSz w:w="11905" w:h="16838"/>
      <w:pgMar w:top="1440" w:right="986" w:bottom="1440" w:left="1803" w:header="851" w:footer="992" w:gutter="0"/>
      <w:cols w:space="0" w:num="1"/>
      <w:rtlGutter w:val="0"/>
      <w:docGrid w:type="lines" w:linePitch="34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Yu Mincho Light">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97830"/>
    <w:multiLevelType w:val="singleLevel"/>
    <w:tmpl w:val="9A697830"/>
    <w:lvl w:ilvl="0" w:tentative="0">
      <w:start w:val="1"/>
      <w:numFmt w:val="decimal"/>
      <w:suff w:val="space"/>
      <w:lvlText w:val="[%1]"/>
      <w:lvlJc w:val="left"/>
    </w:lvl>
  </w:abstractNum>
  <w:abstractNum w:abstractNumId="1">
    <w:nsid w:val="09FF1272"/>
    <w:multiLevelType w:val="multilevel"/>
    <w:tmpl w:val="09FF1272"/>
    <w:lvl w:ilvl="0" w:tentative="0">
      <w:start w:val="1"/>
      <w:numFmt w:val="bullet"/>
      <w:lvlText w:val="•"/>
      <w:lvlJc w:val="left"/>
      <w:pPr>
        <w:ind w:left="420" w:leftChars="0" w:hanging="420" w:firstLineChars="0"/>
      </w:pPr>
      <w:rPr>
        <w:rFonts w:hint="default" w:ascii="微软雅黑" w:hAnsi="微软雅黑" w:eastAsia="微软雅黑" w:cs="微软雅黑"/>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sz w:val="32"/>
        <w:szCs w:val="21"/>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84"/>
      <w:lvlText w:val="Proposal %1"/>
      <w:lvlJc w:val="left"/>
      <w:pPr>
        <w:tabs>
          <w:tab w:val="left" w:pos="1304"/>
        </w:tabs>
        <w:ind w:left="1304" w:hanging="1304"/>
      </w:pPr>
      <w:rPr>
        <w:rFonts w:hint="default"/>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ind w:left="720" w:hanging="360"/>
      </w:pPr>
      <w:rPr>
        <w:rFonts w:hint="default" w:ascii="Symbol" w:hAnsi="Symbol"/>
      </w:rPr>
    </w:lvl>
    <w:lvl w:ilvl="3" w:tentative="0">
      <w:start w:val="1"/>
      <w:numFmt w:val="bullet"/>
      <w:lvlText w:val=""/>
      <w:lvlJc w:val="left"/>
      <w:pPr>
        <w:ind w:left="720" w:hanging="360"/>
      </w:pPr>
      <w:rPr>
        <w:rFonts w:hint="default" w:ascii="Symbol" w:hAnsi="Symbol"/>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CDA2FB2"/>
    <w:multiLevelType w:val="multilevel"/>
    <w:tmpl w:val="6CDA2FB2"/>
    <w:lvl w:ilvl="0" w:tentative="0">
      <w:start w:val="1"/>
      <w:numFmt w:val="decimal"/>
      <w:pStyle w:val="58"/>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5"/>
  </w:num>
  <w:num w:numId="3">
    <w:abstractNumId w:val="3"/>
  </w:num>
  <w:num w:numId="4">
    <w:abstractNumId w:val="2"/>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00"/>
  <w:drawingGridVerticalSpacing w:val="170"/>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4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5F4B"/>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16F5AE1"/>
    <w:rsid w:val="01E525F2"/>
    <w:rsid w:val="01F14C12"/>
    <w:rsid w:val="024C3B89"/>
    <w:rsid w:val="038F6038"/>
    <w:rsid w:val="03BD00D9"/>
    <w:rsid w:val="03E85489"/>
    <w:rsid w:val="0473163D"/>
    <w:rsid w:val="04A648DD"/>
    <w:rsid w:val="04AC3A20"/>
    <w:rsid w:val="04B95A16"/>
    <w:rsid w:val="04BD7273"/>
    <w:rsid w:val="055175E9"/>
    <w:rsid w:val="057D387D"/>
    <w:rsid w:val="076A484D"/>
    <w:rsid w:val="079966F6"/>
    <w:rsid w:val="07EA14B7"/>
    <w:rsid w:val="08E27BAE"/>
    <w:rsid w:val="08F06756"/>
    <w:rsid w:val="09183871"/>
    <w:rsid w:val="092A7769"/>
    <w:rsid w:val="092B1536"/>
    <w:rsid w:val="09576B62"/>
    <w:rsid w:val="09C434EF"/>
    <w:rsid w:val="0A0C6F9E"/>
    <w:rsid w:val="0A2E609D"/>
    <w:rsid w:val="0B141F31"/>
    <w:rsid w:val="0B436C77"/>
    <w:rsid w:val="0C0D22F7"/>
    <w:rsid w:val="0C1A6D8F"/>
    <w:rsid w:val="0C36196C"/>
    <w:rsid w:val="0E581497"/>
    <w:rsid w:val="0E805B23"/>
    <w:rsid w:val="0EC114B0"/>
    <w:rsid w:val="0F871B88"/>
    <w:rsid w:val="10B103CF"/>
    <w:rsid w:val="12100603"/>
    <w:rsid w:val="12DC5028"/>
    <w:rsid w:val="13083778"/>
    <w:rsid w:val="133314D9"/>
    <w:rsid w:val="139117AD"/>
    <w:rsid w:val="143164E7"/>
    <w:rsid w:val="152B664F"/>
    <w:rsid w:val="159F1E9B"/>
    <w:rsid w:val="160675EB"/>
    <w:rsid w:val="161D3503"/>
    <w:rsid w:val="16383B80"/>
    <w:rsid w:val="1706234B"/>
    <w:rsid w:val="178C102A"/>
    <w:rsid w:val="17B24DCB"/>
    <w:rsid w:val="17BF310F"/>
    <w:rsid w:val="183B4ADC"/>
    <w:rsid w:val="18761C3F"/>
    <w:rsid w:val="18B91234"/>
    <w:rsid w:val="18C46E74"/>
    <w:rsid w:val="18D36133"/>
    <w:rsid w:val="18DA4A98"/>
    <w:rsid w:val="193A567C"/>
    <w:rsid w:val="19911272"/>
    <w:rsid w:val="1A3D26A3"/>
    <w:rsid w:val="1A3E169E"/>
    <w:rsid w:val="1AB83FCB"/>
    <w:rsid w:val="1B3020AA"/>
    <w:rsid w:val="1BB06DE1"/>
    <w:rsid w:val="1BC4639B"/>
    <w:rsid w:val="1E804FB9"/>
    <w:rsid w:val="1EE34BF3"/>
    <w:rsid w:val="1FCA4D36"/>
    <w:rsid w:val="2027184D"/>
    <w:rsid w:val="202A27D1"/>
    <w:rsid w:val="20307ABA"/>
    <w:rsid w:val="206A69BE"/>
    <w:rsid w:val="20D03448"/>
    <w:rsid w:val="210D40C9"/>
    <w:rsid w:val="211471AB"/>
    <w:rsid w:val="233124D7"/>
    <w:rsid w:val="23C61726"/>
    <w:rsid w:val="24111F00"/>
    <w:rsid w:val="242A63A6"/>
    <w:rsid w:val="246A4318"/>
    <w:rsid w:val="24AA723A"/>
    <w:rsid w:val="24C26781"/>
    <w:rsid w:val="24C811D2"/>
    <w:rsid w:val="24F611B1"/>
    <w:rsid w:val="25431D5E"/>
    <w:rsid w:val="256F3379"/>
    <w:rsid w:val="25FF7248"/>
    <w:rsid w:val="26B36FEF"/>
    <w:rsid w:val="278F1C29"/>
    <w:rsid w:val="280923C4"/>
    <w:rsid w:val="282F4A63"/>
    <w:rsid w:val="2923120B"/>
    <w:rsid w:val="295577BA"/>
    <w:rsid w:val="298B658A"/>
    <w:rsid w:val="2AED6E98"/>
    <w:rsid w:val="2B29693C"/>
    <w:rsid w:val="2B8973FB"/>
    <w:rsid w:val="2BF52C2F"/>
    <w:rsid w:val="2CF775D2"/>
    <w:rsid w:val="2D211CBE"/>
    <w:rsid w:val="2D9B49BB"/>
    <w:rsid w:val="2DC30F1D"/>
    <w:rsid w:val="2E196BB4"/>
    <w:rsid w:val="2E367CA2"/>
    <w:rsid w:val="307E1A5F"/>
    <w:rsid w:val="308F7505"/>
    <w:rsid w:val="30D217E7"/>
    <w:rsid w:val="312D7FBC"/>
    <w:rsid w:val="31436A0A"/>
    <w:rsid w:val="317E652A"/>
    <w:rsid w:val="31F359EA"/>
    <w:rsid w:val="32ED2702"/>
    <w:rsid w:val="32F250E5"/>
    <w:rsid w:val="32F26A43"/>
    <w:rsid w:val="33122AC2"/>
    <w:rsid w:val="33545AE3"/>
    <w:rsid w:val="33A77EFC"/>
    <w:rsid w:val="33DD5A56"/>
    <w:rsid w:val="350E323B"/>
    <w:rsid w:val="351A0323"/>
    <w:rsid w:val="37681853"/>
    <w:rsid w:val="391E0DAA"/>
    <w:rsid w:val="39C2028E"/>
    <w:rsid w:val="3A556D13"/>
    <w:rsid w:val="3AD53316"/>
    <w:rsid w:val="3ADF2BBC"/>
    <w:rsid w:val="3CCF6897"/>
    <w:rsid w:val="3EDE5D8B"/>
    <w:rsid w:val="3FB20834"/>
    <w:rsid w:val="41C2316C"/>
    <w:rsid w:val="42431787"/>
    <w:rsid w:val="429546AA"/>
    <w:rsid w:val="42982B6F"/>
    <w:rsid w:val="43131FB5"/>
    <w:rsid w:val="441E7FA8"/>
    <w:rsid w:val="45150359"/>
    <w:rsid w:val="453A4674"/>
    <w:rsid w:val="46193257"/>
    <w:rsid w:val="466446CF"/>
    <w:rsid w:val="46C06704"/>
    <w:rsid w:val="47500FAB"/>
    <w:rsid w:val="47D60FEB"/>
    <w:rsid w:val="47FE2097"/>
    <w:rsid w:val="4877278A"/>
    <w:rsid w:val="48F644C0"/>
    <w:rsid w:val="4AA160C5"/>
    <w:rsid w:val="4DA37337"/>
    <w:rsid w:val="4F420AC4"/>
    <w:rsid w:val="4FC467C6"/>
    <w:rsid w:val="4FDC37ED"/>
    <w:rsid w:val="4FFD3B16"/>
    <w:rsid w:val="501228E1"/>
    <w:rsid w:val="502C226A"/>
    <w:rsid w:val="504A4FDD"/>
    <w:rsid w:val="50A314E3"/>
    <w:rsid w:val="50B9589C"/>
    <w:rsid w:val="52511A16"/>
    <w:rsid w:val="53202F90"/>
    <w:rsid w:val="53434EFA"/>
    <w:rsid w:val="538D3C6F"/>
    <w:rsid w:val="53F83FD3"/>
    <w:rsid w:val="54537F9B"/>
    <w:rsid w:val="54CD03D4"/>
    <w:rsid w:val="558B6A30"/>
    <w:rsid w:val="559E607A"/>
    <w:rsid w:val="562271CB"/>
    <w:rsid w:val="570B2511"/>
    <w:rsid w:val="574C0B47"/>
    <w:rsid w:val="57724E36"/>
    <w:rsid w:val="57C360EB"/>
    <w:rsid w:val="57E528E3"/>
    <w:rsid w:val="584D0A2B"/>
    <w:rsid w:val="58693892"/>
    <w:rsid w:val="5882606D"/>
    <w:rsid w:val="58E161DC"/>
    <w:rsid w:val="59653115"/>
    <w:rsid w:val="59791410"/>
    <w:rsid w:val="5A3555A8"/>
    <w:rsid w:val="5A7411D9"/>
    <w:rsid w:val="5A770901"/>
    <w:rsid w:val="5B330B7A"/>
    <w:rsid w:val="5B493BB4"/>
    <w:rsid w:val="5B5D09E7"/>
    <w:rsid w:val="5B904A22"/>
    <w:rsid w:val="5CB2712B"/>
    <w:rsid w:val="5DEB6EA5"/>
    <w:rsid w:val="5DF14146"/>
    <w:rsid w:val="5E0E2EDF"/>
    <w:rsid w:val="5E322F82"/>
    <w:rsid w:val="5E8657BF"/>
    <w:rsid w:val="5F0E26CE"/>
    <w:rsid w:val="5F123686"/>
    <w:rsid w:val="605315EE"/>
    <w:rsid w:val="60807112"/>
    <w:rsid w:val="620A7660"/>
    <w:rsid w:val="628336BE"/>
    <w:rsid w:val="64242D25"/>
    <w:rsid w:val="648051D9"/>
    <w:rsid w:val="64CA64E0"/>
    <w:rsid w:val="651D2857"/>
    <w:rsid w:val="656165BF"/>
    <w:rsid w:val="659A4242"/>
    <w:rsid w:val="65DC40FC"/>
    <w:rsid w:val="666221DD"/>
    <w:rsid w:val="667944E3"/>
    <w:rsid w:val="670715EC"/>
    <w:rsid w:val="67630E73"/>
    <w:rsid w:val="679B5FDC"/>
    <w:rsid w:val="679C7C07"/>
    <w:rsid w:val="68B34721"/>
    <w:rsid w:val="69BE282B"/>
    <w:rsid w:val="69C41529"/>
    <w:rsid w:val="6B590685"/>
    <w:rsid w:val="6BCF1EDD"/>
    <w:rsid w:val="6C5C2CD7"/>
    <w:rsid w:val="6C934C20"/>
    <w:rsid w:val="6CA8034F"/>
    <w:rsid w:val="6D5C364C"/>
    <w:rsid w:val="6F941159"/>
    <w:rsid w:val="6FA822A8"/>
    <w:rsid w:val="70721A9F"/>
    <w:rsid w:val="7139425A"/>
    <w:rsid w:val="71882E8E"/>
    <w:rsid w:val="72DC2812"/>
    <w:rsid w:val="735404A3"/>
    <w:rsid w:val="748F6C80"/>
    <w:rsid w:val="74D41FF8"/>
    <w:rsid w:val="74DE1908"/>
    <w:rsid w:val="74E1532A"/>
    <w:rsid w:val="75B92E5D"/>
    <w:rsid w:val="75C56449"/>
    <w:rsid w:val="76105BAD"/>
    <w:rsid w:val="76FA6E40"/>
    <w:rsid w:val="77447BC5"/>
    <w:rsid w:val="77574232"/>
    <w:rsid w:val="784B02D1"/>
    <w:rsid w:val="78F76A48"/>
    <w:rsid w:val="79355A99"/>
    <w:rsid w:val="793C77CF"/>
    <w:rsid w:val="79FC58DB"/>
    <w:rsid w:val="7A042E65"/>
    <w:rsid w:val="7C897D56"/>
    <w:rsid w:val="7CAD001B"/>
    <w:rsid w:val="7D0D4989"/>
    <w:rsid w:val="7DA56274"/>
    <w:rsid w:val="7DF033B2"/>
    <w:rsid w:val="7DFE2E40"/>
    <w:rsid w:val="7E675D6F"/>
    <w:rsid w:val="7F1000B5"/>
    <w:rsid w:val="7F6472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30"/>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41"/>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42"/>
    <w:qFormat/>
    <w:uiPriority w:val="0"/>
    <w:pPr>
      <w:tabs>
        <w:tab w:val="left" w:pos="720"/>
        <w:tab w:val="clear" w:pos="576"/>
      </w:tabs>
      <w:spacing w:before="120"/>
      <w:ind w:left="720" w:hanging="720"/>
      <w:outlineLvl w:val="2"/>
    </w:pPr>
    <w:rPr>
      <w:sz w:val="28"/>
    </w:rPr>
  </w:style>
  <w:style w:type="paragraph" w:styleId="5">
    <w:name w:val="heading 4"/>
    <w:basedOn w:val="4"/>
    <w:next w:val="1"/>
    <w:link w:val="43"/>
    <w:qFormat/>
    <w:uiPriority w:val="0"/>
    <w:pPr>
      <w:tabs>
        <w:tab w:val="left" w:pos="864"/>
        <w:tab w:val="clear" w:pos="720"/>
      </w:tabs>
      <w:ind w:left="864" w:hanging="864"/>
      <w:outlineLvl w:val="3"/>
    </w:pPr>
    <w:rPr>
      <w:sz w:val="20"/>
    </w:rPr>
  </w:style>
  <w:style w:type="paragraph" w:styleId="6">
    <w:name w:val="heading 5"/>
    <w:basedOn w:val="5"/>
    <w:next w:val="1"/>
    <w:link w:val="44"/>
    <w:qFormat/>
    <w:uiPriority w:val="0"/>
    <w:pPr>
      <w:tabs>
        <w:tab w:val="left" w:pos="1152"/>
        <w:tab w:val="clear" w:pos="864"/>
      </w:tabs>
      <w:ind w:left="1152" w:hanging="1152"/>
      <w:outlineLvl w:val="4"/>
    </w:pPr>
    <w:rPr>
      <w:sz w:val="22"/>
    </w:rPr>
  </w:style>
  <w:style w:type="paragraph" w:styleId="7">
    <w:name w:val="heading 7"/>
    <w:basedOn w:val="1"/>
    <w:next w:val="1"/>
    <w:link w:val="45"/>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6"/>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7"/>
    <w:qFormat/>
    <w:uiPriority w:val="0"/>
    <w:pPr>
      <w:tabs>
        <w:tab w:val="left" w:pos="1584"/>
        <w:tab w:val="clear" w:pos="1440"/>
      </w:tabs>
      <w:ind w:left="1584"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0">
    <w:name w:val="List 3"/>
    <w:basedOn w:val="11"/>
    <w:qFormat/>
    <w:uiPriority w:val="0"/>
    <w:pPr>
      <w:ind w:left="1135"/>
    </w:pPr>
  </w:style>
  <w:style w:type="paragraph" w:styleId="11">
    <w:name w:val="List 2"/>
    <w:basedOn w:val="12"/>
    <w:qFormat/>
    <w:uiPriority w:val="0"/>
    <w:pPr>
      <w:ind w:left="851"/>
    </w:pPr>
  </w:style>
  <w:style w:type="paragraph" w:styleId="12">
    <w:name w:val="List"/>
    <w:basedOn w:val="1"/>
    <w:semiHidden/>
    <w:unhideWhenUsed/>
    <w:qFormat/>
    <w:uiPriority w:val="99"/>
    <w:pPr>
      <w:ind w:left="200" w:hanging="200" w:hangingChars="200"/>
      <w:contextualSpacing/>
    </w:pPr>
  </w:style>
  <w:style w:type="paragraph" w:styleId="13">
    <w:name w:val="caption"/>
    <w:next w:val="1"/>
    <w:link w:val="50"/>
    <w:qFormat/>
    <w:uiPriority w:val="0"/>
    <w:pPr>
      <w:keepNext/>
      <w:spacing w:after="60"/>
    </w:pPr>
    <w:rPr>
      <w:rFonts w:ascii="Courier New" w:hAnsi="Courier New" w:eastAsia="Yu Mincho Light" w:cs="Times New Roman"/>
      <w:b/>
      <w:kern w:val="20"/>
      <w:sz w:val="16"/>
      <w:lang w:val="en-US" w:eastAsia="en-US" w:bidi="ar-SA"/>
    </w:rPr>
  </w:style>
  <w:style w:type="paragraph" w:styleId="14">
    <w:name w:val="Document Map"/>
    <w:basedOn w:val="1"/>
    <w:link w:val="31"/>
    <w:semiHidden/>
    <w:unhideWhenUsed/>
    <w:qFormat/>
    <w:uiPriority w:val="99"/>
    <w:rPr>
      <w:rFonts w:ascii="Cambria Math" w:hAnsi="Cambria Math" w:eastAsia="Cambria Math"/>
      <w:sz w:val="20"/>
      <w:szCs w:val="20"/>
    </w:rPr>
  </w:style>
  <w:style w:type="paragraph" w:styleId="15">
    <w:name w:val="annotation text"/>
    <w:basedOn w:val="1"/>
    <w:link w:val="53"/>
    <w:unhideWhenUsed/>
    <w:qFormat/>
    <w:uiPriority w:val="0"/>
  </w:style>
  <w:style w:type="paragraph" w:styleId="16">
    <w:name w:val="Body Text"/>
    <w:basedOn w:val="1"/>
    <w:qFormat/>
    <w:uiPriority w:val="99"/>
    <w:rPr>
      <w:lang w:val="sv-SE" w:eastAsia="ja-JP"/>
    </w:rPr>
  </w:style>
  <w:style w:type="paragraph" w:styleId="17">
    <w:name w:val="Balloon Text"/>
    <w:basedOn w:val="1"/>
    <w:link w:val="51"/>
    <w:semiHidden/>
    <w:unhideWhenUsed/>
    <w:qFormat/>
    <w:uiPriority w:val="99"/>
    <w:rPr>
      <w:rFonts w:ascii="Cambria Math" w:hAnsi="Cambria Math" w:eastAsia="Cambria Math"/>
      <w:sz w:val="18"/>
      <w:szCs w:val="18"/>
    </w:rPr>
  </w:style>
  <w:style w:type="paragraph" w:styleId="18">
    <w:name w:val="footer"/>
    <w:basedOn w:val="1"/>
    <w:link w:val="52"/>
    <w:unhideWhenUsed/>
    <w:qFormat/>
    <w:uiPriority w:val="99"/>
    <w:pPr>
      <w:tabs>
        <w:tab w:val="center" w:pos="4153"/>
        <w:tab w:val="right" w:pos="8306"/>
      </w:tabs>
      <w:snapToGrid w:val="0"/>
    </w:pPr>
    <w:rPr>
      <w:rFonts w:ascii="Cambria Math" w:hAnsi="Cambria Math"/>
      <w:sz w:val="18"/>
      <w:szCs w:val="18"/>
    </w:rPr>
  </w:style>
  <w:style w:type="paragraph" w:styleId="19">
    <w:name w:val="header"/>
    <w:basedOn w:val="1"/>
    <w:link w:val="29"/>
    <w:qFormat/>
    <w:uiPriority w:val="99"/>
    <w:pPr>
      <w:tabs>
        <w:tab w:val="center" w:pos="4153"/>
        <w:tab w:val="right" w:pos="8306"/>
      </w:tabs>
    </w:pPr>
    <w:rPr>
      <w:rFonts w:eastAsia="Courier New"/>
      <w:sz w:val="20"/>
      <w:szCs w:val="20"/>
      <w:lang w:eastAsia="en-US"/>
    </w:rPr>
  </w:style>
  <w:style w:type="paragraph" w:styleId="20">
    <w:name w:val="List 5"/>
    <w:basedOn w:val="21"/>
    <w:qFormat/>
    <w:uiPriority w:val="0"/>
    <w:pPr>
      <w:ind w:left="1702"/>
    </w:pPr>
  </w:style>
  <w:style w:type="paragraph" w:styleId="21">
    <w:name w:val="List 4"/>
    <w:basedOn w:val="10"/>
    <w:qFormat/>
    <w:uiPriority w:val="0"/>
    <w:pPr>
      <w:ind w:left="1418"/>
    </w:pPr>
  </w:style>
  <w:style w:type="paragraph" w:styleId="22">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3">
    <w:name w:val="annotation subject"/>
    <w:basedOn w:val="15"/>
    <w:next w:val="15"/>
    <w:link w:val="54"/>
    <w:semiHidden/>
    <w:unhideWhenUsed/>
    <w:qFormat/>
    <w:uiPriority w:val="99"/>
    <w:rPr>
      <w:rFonts w:ascii="Cambria Math" w:hAnsi="Cambria Math"/>
      <w:b/>
      <w:bCs/>
      <w:sz w:val="20"/>
      <w:szCs w:val="20"/>
    </w:rPr>
  </w:style>
  <w:style w:type="table" w:styleId="25">
    <w:name w:val="Table Grid"/>
    <w:basedOn w:val="24"/>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qFormat/>
    <w:uiPriority w:val="0"/>
    <w:rPr>
      <w:rFonts w:cs="Times New Roman"/>
      <w:color w:val="0000FF"/>
      <w:u w:val="single"/>
    </w:rPr>
  </w:style>
  <w:style w:type="character" w:styleId="28">
    <w:name w:val="annotation reference"/>
    <w:semiHidden/>
    <w:unhideWhenUsed/>
    <w:qFormat/>
    <w:uiPriority w:val="99"/>
    <w:rPr>
      <w:sz w:val="21"/>
      <w:szCs w:val="21"/>
    </w:rPr>
  </w:style>
  <w:style w:type="character" w:customStyle="1" w:styleId="29">
    <w:name w:val="页眉 字符"/>
    <w:link w:val="19"/>
    <w:qFormat/>
    <w:uiPriority w:val="99"/>
    <w:rPr>
      <w:rFonts w:ascii="Times New Roman" w:hAnsi="Times New Roman" w:eastAsia="Courier New" w:cs="Times New Roman"/>
      <w:kern w:val="0"/>
      <w:sz w:val="20"/>
      <w:szCs w:val="20"/>
      <w:lang w:eastAsia="en-US"/>
    </w:rPr>
  </w:style>
  <w:style w:type="character" w:customStyle="1" w:styleId="30">
    <w:name w:val="标题 1 字符"/>
    <w:link w:val="2"/>
    <w:qFormat/>
    <w:uiPriority w:val="0"/>
    <w:rPr>
      <w:rFonts w:ascii="Arial" w:hAnsi="Arial"/>
      <w:b/>
      <w:bCs/>
      <w:kern w:val="44"/>
      <w:sz w:val="44"/>
      <w:szCs w:val="44"/>
    </w:rPr>
  </w:style>
  <w:style w:type="character" w:customStyle="1" w:styleId="31">
    <w:name w:val="文档结构图 字符"/>
    <w:link w:val="14"/>
    <w:semiHidden/>
    <w:qFormat/>
    <w:uiPriority w:val="99"/>
    <w:rPr>
      <w:rFonts w:ascii="Cambria Math" w:eastAsia="Cambria Math"/>
    </w:rPr>
  </w:style>
  <w:style w:type="paragraph" w:customStyle="1" w:styleId="32">
    <w:name w:val="TAC"/>
    <w:basedOn w:val="33"/>
    <w:link w:val="34"/>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3">
    <w:name w:val="TAL"/>
    <w:basedOn w:val="1"/>
    <w:link w:val="62"/>
    <w:qFormat/>
    <w:uiPriority w:val="0"/>
    <w:pPr>
      <w:keepNext/>
      <w:keepLines/>
    </w:pPr>
    <w:rPr>
      <w:rFonts w:ascii="Courier New" w:hAnsi="Courier New"/>
      <w:sz w:val="18"/>
      <w:szCs w:val="20"/>
      <w:lang w:val="en-GB" w:eastAsia="en-US"/>
    </w:rPr>
  </w:style>
  <w:style w:type="character" w:customStyle="1" w:styleId="34">
    <w:name w:val="TAC Char"/>
    <w:link w:val="32"/>
    <w:qFormat/>
    <w:uiPriority w:val="0"/>
    <w:rPr>
      <w:rFonts w:ascii="Courier New" w:hAnsi="Courier New" w:eastAsia="Yu Mincho Light" w:cs="Times New Roman"/>
      <w:kern w:val="0"/>
      <w:sz w:val="18"/>
      <w:szCs w:val="18"/>
      <w:lang w:val="en-GB"/>
    </w:rPr>
  </w:style>
  <w:style w:type="paragraph" w:customStyle="1" w:styleId="35">
    <w:name w:val="TH"/>
    <w:basedOn w:val="1"/>
    <w:link w:val="36"/>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6">
    <w:name w:val="TH Char"/>
    <w:link w:val="35"/>
    <w:qFormat/>
    <w:uiPriority w:val="0"/>
    <w:rPr>
      <w:rFonts w:ascii="Courier New" w:hAnsi="Courier New" w:eastAsia="Yu Mincho Light" w:cs="Times New Roman"/>
      <w:b/>
      <w:bCs/>
      <w:kern w:val="0"/>
      <w:sz w:val="20"/>
      <w:szCs w:val="20"/>
      <w:lang w:val="en-GB"/>
    </w:rPr>
  </w:style>
  <w:style w:type="paragraph" w:customStyle="1" w:styleId="37">
    <w:name w:val="TAH"/>
    <w:basedOn w:val="32"/>
    <w:link w:val="38"/>
    <w:qFormat/>
    <w:uiPriority w:val="0"/>
    <w:rPr>
      <w:b/>
      <w:bCs/>
    </w:rPr>
  </w:style>
  <w:style w:type="character" w:customStyle="1" w:styleId="38">
    <w:name w:val="TAH Car"/>
    <w:link w:val="37"/>
    <w:qFormat/>
    <w:uiPriority w:val="0"/>
    <w:rPr>
      <w:rFonts w:ascii="Courier New" w:hAnsi="Courier New" w:eastAsia="Yu Mincho Light" w:cs="Times New Roman"/>
      <w:b/>
      <w:bCs/>
      <w:kern w:val="0"/>
      <w:sz w:val="18"/>
      <w:szCs w:val="18"/>
      <w:lang w:val="en-GB"/>
    </w:rPr>
  </w:style>
  <w:style w:type="paragraph" w:customStyle="1" w:styleId="39">
    <w:name w:val="TAN"/>
    <w:basedOn w:val="1"/>
    <w:link w:val="40"/>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40">
    <w:name w:val="TAN Char"/>
    <w:link w:val="39"/>
    <w:qFormat/>
    <w:uiPriority w:val="0"/>
    <w:rPr>
      <w:rFonts w:ascii="Courier New" w:hAnsi="Courier New" w:eastAsia="Yu Mincho Light" w:cs="Times New Roman"/>
      <w:kern w:val="0"/>
      <w:sz w:val="18"/>
      <w:szCs w:val="18"/>
      <w:lang w:val="en-GB"/>
    </w:rPr>
  </w:style>
  <w:style w:type="character" w:customStyle="1" w:styleId="41">
    <w:name w:val="标题 2 字符"/>
    <w:link w:val="3"/>
    <w:qFormat/>
    <w:uiPriority w:val="0"/>
    <w:rPr>
      <w:rFonts w:ascii="Courier New" w:hAnsi="Courier New" w:eastAsia="Courier New" w:cs="Times New Roman"/>
      <w:kern w:val="0"/>
      <w:sz w:val="32"/>
      <w:szCs w:val="20"/>
      <w:lang w:val="en-GB" w:eastAsia="en-US"/>
    </w:rPr>
  </w:style>
  <w:style w:type="character" w:customStyle="1" w:styleId="42">
    <w:name w:val="标题 3 字符"/>
    <w:link w:val="4"/>
    <w:qFormat/>
    <w:uiPriority w:val="0"/>
    <w:rPr>
      <w:rFonts w:ascii="Courier New" w:hAnsi="Courier New" w:eastAsia="Courier New" w:cs="Times New Roman"/>
      <w:kern w:val="0"/>
      <w:sz w:val="28"/>
      <w:szCs w:val="20"/>
      <w:lang w:val="en-GB" w:eastAsia="en-US"/>
    </w:rPr>
  </w:style>
  <w:style w:type="character" w:customStyle="1" w:styleId="43">
    <w:name w:val="标题 4 字符"/>
    <w:link w:val="5"/>
    <w:qFormat/>
    <w:uiPriority w:val="0"/>
    <w:rPr>
      <w:rFonts w:ascii="Courier New" w:hAnsi="Courier New" w:eastAsia="Courier New" w:cs="Times New Roman"/>
      <w:kern w:val="0"/>
      <w:szCs w:val="20"/>
      <w:lang w:val="en-GB" w:eastAsia="en-US"/>
    </w:rPr>
  </w:style>
  <w:style w:type="character" w:customStyle="1" w:styleId="44">
    <w:name w:val="标题 5 字符"/>
    <w:link w:val="6"/>
    <w:qFormat/>
    <w:uiPriority w:val="0"/>
    <w:rPr>
      <w:rFonts w:ascii="Courier New" w:hAnsi="Courier New" w:eastAsia="Courier New" w:cs="Times New Roman"/>
      <w:kern w:val="0"/>
      <w:sz w:val="22"/>
      <w:szCs w:val="20"/>
      <w:lang w:val="en-GB" w:eastAsia="en-US"/>
    </w:rPr>
  </w:style>
  <w:style w:type="character" w:customStyle="1" w:styleId="45">
    <w:name w:val="标题 7 字符"/>
    <w:link w:val="7"/>
    <w:qFormat/>
    <w:uiPriority w:val="0"/>
    <w:rPr>
      <w:rFonts w:ascii="Courier New" w:hAnsi="Courier New" w:eastAsia="Courier New" w:cs="Times New Roman"/>
      <w:kern w:val="0"/>
      <w:sz w:val="20"/>
      <w:szCs w:val="20"/>
      <w:lang w:val="en-GB" w:eastAsia="en-US"/>
    </w:rPr>
  </w:style>
  <w:style w:type="character" w:customStyle="1" w:styleId="46">
    <w:name w:val="标题 8 字符"/>
    <w:link w:val="8"/>
    <w:qFormat/>
    <w:uiPriority w:val="0"/>
    <w:rPr>
      <w:rFonts w:ascii="Courier New" w:hAnsi="Courier New" w:eastAsia="Courier New" w:cs="Times New Roman"/>
      <w:kern w:val="0"/>
      <w:sz w:val="36"/>
      <w:szCs w:val="20"/>
      <w:lang w:val="en-GB" w:eastAsia="en-US"/>
    </w:rPr>
  </w:style>
  <w:style w:type="character" w:customStyle="1" w:styleId="47">
    <w:name w:val="标题 9 字符"/>
    <w:link w:val="9"/>
    <w:qFormat/>
    <w:uiPriority w:val="0"/>
    <w:rPr>
      <w:rFonts w:ascii="Courier New" w:hAnsi="Courier New" w:eastAsia="Courier New" w:cs="Times New Roman"/>
      <w:kern w:val="0"/>
      <w:sz w:val="36"/>
      <w:szCs w:val="20"/>
      <w:lang w:val="en-GB" w:eastAsia="en-US"/>
    </w:rPr>
  </w:style>
  <w:style w:type="paragraph" w:customStyle="1" w:styleId="48">
    <w:name w:val="彩色列表 - 强调文字颜色 11"/>
    <w:basedOn w:val="1"/>
    <w:qFormat/>
    <w:uiPriority w:val="34"/>
    <w:pPr>
      <w:ind w:firstLine="420" w:firstLineChars="200"/>
    </w:pPr>
    <w:rPr>
      <w:rFonts w:ascii="Yu Mincho Light" w:hAnsi="Yu Mincho Light"/>
      <w:sz w:val="20"/>
      <w:szCs w:val="20"/>
    </w:rPr>
  </w:style>
  <w:style w:type="paragraph" w:customStyle="1" w:styleId="49">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50">
    <w:name w:val="题注 字符"/>
    <w:link w:val="13"/>
    <w:qFormat/>
    <w:uiPriority w:val="0"/>
    <w:rPr>
      <w:rFonts w:ascii="Courier New" w:hAnsi="Courier New"/>
      <w:b/>
      <w:kern w:val="20"/>
      <w:sz w:val="16"/>
      <w:lang w:eastAsia="en-US" w:bidi="ar-SA"/>
    </w:rPr>
  </w:style>
  <w:style w:type="character" w:customStyle="1" w:styleId="51">
    <w:name w:val="批注框文本 字符"/>
    <w:link w:val="17"/>
    <w:semiHidden/>
    <w:qFormat/>
    <w:uiPriority w:val="99"/>
    <w:rPr>
      <w:rFonts w:ascii="Cambria Math" w:eastAsia="Cambria Math"/>
      <w:sz w:val="18"/>
      <w:szCs w:val="18"/>
    </w:rPr>
  </w:style>
  <w:style w:type="character" w:customStyle="1" w:styleId="52">
    <w:name w:val="页脚 字符"/>
    <w:link w:val="18"/>
    <w:qFormat/>
    <w:uiPriority w:val="99"/>
    <w:rPr>
      <w:sz w:val="18"/>
      <w:szCs w:val="18"/>
    </w:rPr>
  </w:style>
  <w:style w:type="character" w:customStyle="1" w:styleId="53">
    <w:name w:val="批注文字 字符"/>
    <w:basedOn w:val="26"/>
    <w:link w:val="15"/>
    <w:qFormat/>
    <w:uiPriority w:val="0"/>
  </w:style>
  <w:style w:type="character" w:customStyle="1" w:styleId="54">
    <w:name w:val="批注主题 字符"/>
    <w:link w:val="23"/>
    <w:semiHidden/>
    <w:qFormat/>
    <w:uiPriority w:val="99"/>
    <w:rPr>
      <w:b/>
      <w:bCs/>
    </w:rPr>
  </w:style>
  <w:style w:type="paragraph" w:customStyle="1" w:styleId="55">
    <w:name w:val="B1"/>
    <w:basedOn w:val="12"/>
    <w:link w:val="56"/>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6">
    <w:name w:val="B1 Char1"/>
    <w:link w:val="55"/>
    <w:qFormat/>
    <w:uiPriority w:val="0"/>
    <w:rPr>
      <w:rFonts w:ascii="Times New Roman" w:hAnsi="Times New Roman" w:eastAsia="Times New Roman" w:cs="Times New Roman"/>
      <w:kern w:val="0"/>
      <w:sz w:val="20"/>
      <w:szCs w:val="20"/>
      <w:lang w:val="en-GB" w:eastAsia="en-US"/>
    </w:rPr>
  </w:style>
  <w:style w:type="character" w:customStyle="1" w:styleId="57">
    <w:name w:val="B1 Char"/>
    <w:qFormat/>
    <w:locked/>
    <w:uiPriority w:val="0"/>
    <w:rPr>
      <w:lang w:val="en-GB"/>
    </w:rPr>
  </w:style>
  <w:style w:type="paragraph" w:customStyle="1" w:styleId="58">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9">
    <w:name w:val="首标题"/>
    <w:qFormat/>
    <w:uiPriority w:val="0"/>
    <w:rPr>
      <w:rFonts w:ascii="Courier New" w:hAnsi="Courier New" w:eastAsia="Yu Mincho Light"/>
      <w:sz w:val="24"/>
      <w:lang w:val="en-US" w:eastAsia="zh-CN" w:bidi="ar-SA"/>
    </w:rPr>
  </w:style>
  <w:style w:type="paragraph" w:customStyle="1" w:styleId="60">
    <w:name w:val="插图题注"/>
    <w:basedOn w:val="1"/>
    <w:qFormat/>
    <w:uiPriority w:val="0"/>
    <w:pPr>
      <w:spacing w:after="180"/>
    </w:pPr>
    <w:rPr>
      <w:sz w:val="20"/>
      <w:szCs w:val="20"/>
      <w:lang w:val="en-GB" w:eastAsia="en-US"/>
    </w:rPr>
  </w:style>
  <w:style w:type="paragraph" w:customStyle="1" w:styleId="61">
    <w:name w:val="表格题注"/>
    <w:basedOn w:val="1"/>
    <w:qFormat/>
    <w:uiPriority w:val="0"/>
    <w:pPr>
      <w:spacing w:after="180"/>
    </w:pPr>
    <w:rPr>
      <w:sz w:val="20"/>
      <w:szCs w:val="20"/>
      <w:lang w:val="en-GB" w:eastAsia="en-US"/>
    </w:rPr>
  </w:style>
  <w:style w:type="character" w:customStyle="1" w:styleId="62">
    <w:name w:val="TAL Car"/>
    <w:link w:val="33"/>
    <w:qFormat/>
    <w:uiPriority w:val="0"/>
    <w:rPr>
      <w:rFonts w:ascii="Courier New" w:hAnsi="Courier New"/>
      <w:sz w:val="18"/>
      <w:lang w:val="en-GB" w:eastAsia="en-US"/>
    </w:rPr>
  </w:style>
  <w:style w:type="paragraph" w:customStyle="1" w:styleId="63">
    <w:name w:val="中等深浅网格 1 - 着色 21"/>
    <w:basedOn w:val="1"/>
    <w:link w:val="64"/>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4">
    <w:name w:val="中等深浅网格 1 - 着色 2 字符"/>
    <w:link w:val="63"/>
    <w:qFormat/>
    <w:locked/>
    <w:uiPriority w:val="34"/>
    <w:rPr>
      <w:rFonts w:ascii="Times New Roman" w:hAnsi="Times New Roman" w:eastAsia="Yu Mincho Light"/>
      <w:lang w:val="en-GB" w:eastAsia="ja-JP"/>
    </w:rPr>
  </w:style>
  <w:style w:type="character" w:customStyle="1" w:styleId="65">
    <w:name w:val="TAL Char"/>
    <w:qFormat/>
    <w:uiPriority w:val="0"/>
    <w:rPr>
      <w:rFonts w:ascii="Courier New" w:hAnsi="Courier New" w:eastAsia="Yu Mincho Light"/>
      <w:sz w:val="18"/>
      <w:lang w:val="en-GB" w:eastAsia="zh-CN"/>
    </w:rPr>
  </w:style>
  <w:style w:type="paragraph" w:customStyle="1" w:styleId="6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7">
    <w:name w:val="Doc-title"/>
    <w:basedOn w:val="1"/>
    <w:next w:val="68"/>
    <w:link w:val="70"/>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8">
    <w:name w:val="Doc-text2"/>
    <w:basedOn w:val="1"/>
    <w:link w:val="69"/>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9">
    <w:name w:val="Doc-text2 Char"/>
    <w:link w:val="68"/>
    <w:qFormat/>
    <w:uiPriority w:val="0"/>
    <w:rPr>
      <w:rFonts w:ascii="Courier New" w:hAnsi="Courier New" w:eastAsia="Courier New"/>
      <w:szCs w:val="24"/>
      <w:lang w:eastAsia="en-GB"/>
    </w:rPr>
  </w:style>
  <w:style w:type="character" w:customStyle="1" w:styleId="70">
    <w:name w:val="Doc-title Char"/>
    <w:link w:val="67"/>
    <w:qFormat/>
    <w:uiPriority w:val="0"/>
    <w:rPr>
      <w:rFonts w:ascii="Courier New" w:hAnsi="Courier New" w:eastAsia="Courier New"/>
      <w:szCs w:val="24"/>
      <w:lang w:eastAsia="en-GB"/>
    </w:rPr>
  </w:style>
  <w:style w:type="paragraph" w:customStyle="1" w:styleId="71">
    <w:name w:val="EmailDiscussion2"/>
    <w:basedOn w:val="68"/>
    <w:qFormat/>
    <w:uiPriority w:val="0"/>
  </w:style>
  <w:style w:type="paragraph" w:customStyle="1" w:styleId="72">
    <w:name w:val="H6"/>
    <w:basedOn w:val="6"/>
    <w:next w:val="1"/>
    <w:link w:val="73"/>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3">
    <w:name w:val="H6 Char"/>
    <w:link w:val="72"/>
    <w:qFormat/>
    <w:uiPriority w:val="0"/>
    <w:rPr>
      <w:rFonts w:ascii="Courier New" w:hAnsi="Courier New" w:eastAsia="Yu Mincho Light"/>
      <w:lang w:val="en-GB" w:eastAsia="en-US"/>
    </w:rPr>
  </w:style>
  <w:style w:type="paragraph" w:customStyle="1" w:styleId="74">
    <w:name w:val="NO"/>
    <w:basedOn w:val="1"/>
    <w:link w:val="75"/>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5">
    <w:name w:val="NO Char1"/>
    <w:link w:val="74"/>
    <w:qFormat/>
    <w:uiPriority w:val="0"/>
    <w:rPr>
      <w:rFonts w:ascii="Times New Roman" w:hAnsi="Times New Roman" w:eastAsia="Times New Roman"/>
      <w:lang w:val="en-GB"/>
    </w:rPr>
  </w:style>
  <w:style w:type="character" w:customStyle="1" w:styleId="76">
    <w:name w:val="页眉 Char"/>
    <w:qFormat/>
    <w:uiPriority w:val="0"/>
    <w:rPr>
      <w:rFonts w:ascii="Courier New" w:hAnsi="Courier New"/>
      <w:b/>
      <w:sz w:val="18"/>
      <w:lang w:eastAsia="en-US"/>
    </w:rPr>
  </w:style>
  <w:style w:type="paragraph" w:customStyle="1" w:styleId="77">
    <w:name w:val="CR Cover Page"/>
    <w:link w:val="78"/>
    <w:qFormat/>
    <w:uiPriority w:val="0"/>
    <w:pPr>
      <w:spacing w:after="120"/>
    </w:pPr>
    <w:rPr>
      <w:rFonts w:ascii="Arial" w:hAnsi="Arial" w:eastAsia="Courier New" w:cs="Cambria Math"/>
      <w:lang w:val="en-GB" w:eastAsia="en-US" w:bidi="ar-SA"/>
    </w:rPr>
  </w:style>
  <w:style w:type="character" w:customStyle="1" w:styleId="78">
    <w:name w:val="CR Cover Page Char"/>
    <w:link w:val="77"/>
    <w:qFormat/>
    <w:uiPriority w:val="0"/>
    <w:rPr>
      <w:rFonts w:ascii="Arial" w:hAnsi="Arial" w:eastAsia="Courier New" w:cs="Cambria Math"/>
      <w:lang w:val="en-GB" w:eastAsia="en-US" w:bidi="ar-SA"/>
    </w:rPr>
  </w:style>
  <w:style w:type="paragraph" w:styleId="79">
    <w:name w:val="List Paragraph"/>
    <w:basedOn w:val="1"/>
    <w:link w:val="80"/>
    <w:qFormat/>
    <w:uiPriority w:val="34"/>
    <w:pPr>
      <w:ind w:firstLine="420" w:firstLineChars="200"/>
    </w:pPr>
    <w:rPr>
      <w:rFonts w:eastAsia="Times New Roman" w:cs="宋体"/>
    </w:rPr>
  </w:style>
  <w:style w:type="character" w:customStyle="1" w:styleId="80">
    <w:name w:val="列表段落 字符"/>
    <w:link w:val="79"/>
    <w:qFormat/>
    <w:locked/>
    <w:uiPriority w:val="34"/>
    <w:rPr>
      <w:rFonts w:ascii="Times New Roman" w:hAnsi="Times New Roman" w:eastAsia="Times New Roman" w:cs="宋体"/>
      <w:sz w:val="24"/>
      <w:szCs w:val="24"/>
    </w:rPr>
  </w:style>
  <w:style w:type="paragraph" w:customStyle="1" w:styleId="81">
    <w:name w:val="Revision"/>
    <w:hidden/>
    <w:qFormat/>
    <w:uiPriority w:val="62"/>
    <w:rPr>
      <w:rFonts w:ascii="Times New Roman" w:hAnsi="Times New Roman" w:eastAsia="Yu Mincho Light" w:cs="Times New Roman"/>
      <w:sz w:val="24"/>
      <w:szCs w:val="24"/>
      <w:lang w:val="en-US" w:eastAsia="zh-CN" w:bidi="ar-SA"/>
    </w:rPr>
  </w:style>
  <w:style w:type="paragraph" w:customStyle="1" w:styleId="82">
    <w:name w:val="B2"/>
    <w:basedOn w:val="11"/>
    <w:qFormat/>
    <w:uiPriority w:val="0"/>
  </w:style>
  <w:style w:type="paragraph" w:customStyle="1" w:styleId="83">
    <w:name w:val="B3"/>
    <w:basedOn w:val="10"/>
    <w:qFormat/>
    <w:uiPriority w:val="0"/>
  </w:style>
  <w:style w:type="paragraph" w:customStyle="1" w:styleId="84">
    <w:name w:val="Proposal"/>
    <w:basedOn w:val="16"/>
    <w:qFormat/>
    <w:uiPriority w:val="0"/>
    <w:pPr>
      <w:numPr>
        <w:ilvl w:val="0"/>
        <w:numId w:val="3"/>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85">
    <w:name w:val="B4"/>
    <w:basedOn w:val="21"/>
    <w:qFormat/>
    <w:uiPriority w:val="0"/>
  </w:style>
  <w:style w:type="paragraph" w:customStyle="1" w:styleId="86">
    <w:name w:val="B5"/>
    <w:basedOn w:val="20"/>
    <w:qFormat/>
    <w:uiPriority w:val="0"/>
  </w:style>
  <w:style w:type="paragraph" w:customStyle="1" w:styleId="87">
    <w:name w:val="B6"/>
    <w:basedOn w:val="86"/>
    <w:qFormat/>
    <w:uiPriority w:val="0"/>
    <w:pPr>
      <w:ind w:left="1985"/>
    </w:pPr>
    <w:rPr>
      <w:lang w:val="en-US"/>
    </w:rPr>
  </w:style>
  <w:style w:type="paragraph" w:customStyle="1" w:styleId="88">
    <w:name w:val="B7"/>
    <w:basedOn w:val="87"/>
    <w:qFormat/>
    <w:uiPriority w:val="0"/>
    <w:pPr>
      <w:ind w:left="2269"/>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9</Pages>
  <Words>2366</Words>
  <Characters>13491</Characters>
  <Lines>112</Lines>
  <Paragraphs>31</Paragraphs>
  <TotalTime>0</TotalTime>
  <ScaleCrop>false</ScaleCrop>
  <LinksUpToDate>false</LinksUpToDate>
  <CharactersWithSpaces>15826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2025-05-09T06:59:14Z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1B5FA489B6684E2C9426DDD8CDDDA00C</vt:lpwstr>
  </property>
</Properties>
</file>